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A90E3" w14:textId="504AA027" w:rsidR="001B7A7E" w:rsidRPr="00C710CB" w:rsidRDefault="0020572C" w:rsidP="000C33DC">
      <w:pPr>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EED54D" wp14:editId="41CC04F4">
                <wp:simplePos x="0" y="0"/>
                <wp:positionH relativeFrom="column">
                  <wp:posOffset>5804535</wp:posOffset>
                </wp:positionH>
                <wp:positionV relativeFrom="paragraph">
                  <wp:posOffset>-967740</wp:posOffset>
                </wp:positionV>
                <wp:extent cx="838200" cy="4381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838200" cy="438150"/>
                        </a:xfrm>
                        <a:prstGeom prst="rect">
                          <a:avLst/>
                        </a:prstGeom>
                        <a:solidFill>
                          <a:schemeClr val="lt1"/>
                        </a:solidFill>
                        <a:ln w="6350">
                          <a:solidFill>
                            <a:prstClr val="black"/>
                          </a:solidFill>
                        </a:ln>
                      </wps:spPr>
                      <wps:txbx>
                        <w:txbxContent>
                          <w:p w14:paraId="37B19491" w14:textId="4DD989A9" w:rsidR="0020572C" w:rsidRPr="0020572C" w:rsidRDefault="0020572C" w:rsidP="0020572C">
                            <w:pPr>
                              <w:jc w:val="center"/>
                              <w:rPr>
                                <w:b/>
                                <w:bCs/>
                                <w:sz w:val="28"/>
                                <w:szCs w:val="28"/>
                                <w:lang w:val="en-GB"/>
                              </w:rPr>
                            </w:pPr>
                            <w:r>
                              <w:rPr>
                                <w:b/>
                                <w:bCs/>
                                <w:sz w:val="28"/>
                                <w:szCs w:val="28"/>
                                <w:lang w:val="en-GB"/>
                              </w:rPr>
                              <w:t>Day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ED54D" id="_x0000_t202" coordsize="21600,21600" o:spt="202" path="m,l,21600r21600,l21600,xe">
                <v:stroke joinstyle="miter"/>
                <v:path gradientshapeok="t" o:connecttype="rect"/>
              </v:shapetype>
              <v:shape id="Text Box 4" o:spid="_x0000_s1026" type="#_x0000_t202" style="position:absolute;margin-left:457.05pt;margin-top:-76.2pt;width:6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" fillcolor="white [3201]" strokeweight=".5pt">
                <v:textbox>
                  <w:txbxContent>
                    <w:p w14:paraId="37B19491" w14:textId="4DD989A9" w:rsidR="0020572C" w:rsidRPr="0020572C" w:rsidRDefault="0020572C" w:rsidP="0020572C">
                      <w:pPr>
                        <w:jc w:val="center"/>
                        <w:rPr>
                          <w:b/>
                          <w:bCs/>
                          <w:sz w:val="28"/>
                          <w:szCs w:val="28"/>
                          <w:lang w:val="en-GB"/>
                        </w:rPr>
                      </w:pPr>
                      <w:r>
                        <w:rPr>
                          <w:b/>
                          <w:bCs/>
                          <w:sz w:val="28"/>
                          <w:szCs w:val="28"/>
                          <w:lang w:val="en-GB"/>
                        </w:rPr>
                        <w:t>Day 0</w:t>
                      </w:r>
                    </w:p>
                  </w:txbxContent>
                </v:textbox>
              </v:shape>
            </w:pict>
          </mc:Fallback>
        </mc:AlternateContent>
      </w:r>
      <w:r w:rsidR="00D22988" w:rsidRPr="00C710CB">
        <w:rPr>
          <w:rFonts w:ascii="Times New Roman" w:hAnsi="Times New Roman" w:cs="Times New Roman"/>
          <w:sz w:val="24"/>
          <w:szCs w:val="24"/>
          <w:lang w:val="fr-FR"/>
        </w:rPr>
        <w:t xml:space="preserve"> </w:t>
      </w:r>
      <w:r w:rsidR="000C33DC" w:rsidRPr="00C710CB">
        <w:rPr>
          <w:rFonts w:ascii="Times New Roman" w:hAnsi="Times New Roman" w:cs="Times New Roman"/>
          <w:sz w:val="24"/>
          <w:szCs w:val="24"/>
          <w:lang w:val="fr-FR"/>
        </w:rPr>
        <w:t xml:space="preserve">                </w:t>
      </w:r>
    </w:p>
    <w:p w14:paraId="00F53D38" w14:textId="2B467B9E" w:rsidR="00FF449A" w:rsidRPr="001E1FFC" w:rsidRDefault="00DC47C6" w:rsidP="00FF449A">
      <w:pPr>
        <w:rPr>
          <w:rFonts w:ascii="Calibri" w:hAnsi="Calibri" w:cs="Times New Roman"/>
          <w:b/>
          <w:bCs/>
          <w:sz w:val="36"/>
          <w:szCs w:val="36"/>
          <w:lang w:val="fr-FR"/>
        </w:rPr>
      </w:pPr>
      <w:r w:rsidRPr="001E1FFC">
        <w:rPr>
          <w:rFonts w:ascii="Calibri" w:hAnsi="Calibri" w:cs="Times New Roman"/>
          <w:b/>
          <w:bCs/>
          <w:sz w:val="36"/>
          <w:szCs w:val="36"/>
          <w:lang w:val="fr-FR"/>
        </w:rPr>
        <w:t>BORS</w:t>
      </w:r>
      <w:r w:rsidR="008115E7" w:rsidRPr="001E1FFC">
        <w:rPr>
          <w:rFonts w:ascii="Calibri" w:hAnsi="Calibri" w:cs="Times New Roman"/>
          <w:b/>
          <w:bCs/>
          <w:sz w:val="36"/>
          <w:szCs w:val="36"/>
          <w:lang w:val="fr-FR"/>
        </w:rPr>
        <w:t xml:space="preserve"> Participant Information </w:t>
      </w:r>
      <w:proofErr w:type="spellStart"/>
      <w:r w:rsidR="008115E7" w:rsidRPr="001E1FFC">
        <w:rPr>
          <w:rFonts w:ascii="Calibri" w:hAnsi="Calibri" w:cs="Times New Roman"/>
          <w:b/>
          <w:bCs/>
          <w:sz w:val="36"/>
          <w:szCs w:val="36"/>
          <w:lang w:val="fr-FR"/>
        </w:rPr>
        <w:t>Sheet</w:t>
      </w:r>
      <w:proofErr w:type="spellEnd"/>
      <w:r w:rsidR="008115E7" w:rsidRPr="001E1FFC">
        <w:rPr>
          <w:rFonts w:ascii="Calibri" w:hAnsi="Calibri" w:cs="Times New Roman"/>
          <w:b/>
          <w:bCs/>
          <w:sz w:val="36"/>
          <w:szCs w:val="36"/>
          <w:lang w:val="fr-FR"/>
        </w:rPr>
        <w:t xml:space="preserve"> </w:t>
      </w:r>
      <w:r w:rsidR="001E1FFC" w:rsidRPr="001E1FFC">
        <w:rPr>
          <w:rFonts w:ascii="Calibri" w:hAnsi="Calibri" w:cs="Times New Roman"/>
          <w:b/>
          <w:bCs/>
          <w:sz w:val="36"/>
          <w:szCs w:val="36"/>
          <w:lang w:val="fr-FR"/>
        </w:rPr>
        <w:t xml:space="preserve">(PIS) </w:t>
      </w:r>
    </w:p>
    <w:p w14:paraId="6473CE5B" w14:textId="3C7B9089" w:rsidR="008115E7" w:rsidRDefault="00C96577" w:rsidP="008115E7">
      <w:pPr>
        <w:jc w:val="both"/>
        <w:outlineLvl w:val="3"/>
        <w:rPr>
          <w:b/>
          <w:color w:val="0000FF"/>
          <w:u w:val="single"/>
        </w:rPr>
      </w:pPr>
      <w:proofErr w:type="spellStart"/>
      <w:r w:rsidRPr="00C96577">
        <w:rPr>
          <w:rFonts w:ascii="Times" w:hAnsi="Times" w:cs="Times"/>
          <w:b/>
          <w:bCs/>
          <w:color w:val="000000"/>
          <w:sz w:val="29"/>
          <w:szCs w:val="29"/>
        </w:rPr>
        <w:t>Boostability</w:t>
      </w:r>
      <w:proofErr w:type="spellEnd"/>
      <w:r w:rsidRPr="00C96577">
        <w:rPr>
          <w:rFonts w:ascii="Times" w:hAnsi="Times" w:cs="Times"/>
          <w:b/>
          <w:bCs/>
          <w:color w:val="000000"/>
          <w:sz w:val="29"/>
          <w:szCs w:val="29"/>
        </w:rPr>
        <w:t xml:space="preserve"> of One priming dose IM Rabies vaccine especially in Senior age groups</w:t>
      </w:r>
    </w:p>
    <w:p w14:paraId="49C076F0" w14:textId="3A03B7A1" w:rsidR="008115E7" w:rsidRPr="00E669BD" w:rsidRDefault="008115E7" w:rsidP="00E669BD">
      <w:pPr>
        <w:pStyle w:val="Heading2"/>
      </w:pPr>
      <w:r w:rsidRPr="00E669BD">
        <w:t>Researchers</w:t>
      </w:r>
      <w:r w:rsidR="000453ED">
        <w:t>:</w:t>
      </w:r>
    </w:p>
    <w:p w14:paraId="44F066DE" w14:textId="44CA654E" w:rsidR="008115E7" w:rsidRPr="003615E1" w:rsidRDefault="008115E7" w:rsidP="008115E7">
      <w:pPr>
        <w:jc w:val="both"/>
        <w:outlineLvl w:val="3"/>
      </w:pPr>
      <w:r w:rsidRPr="003615E1">
        <w:t>This study is being conducted at Dr Deb The Travel Doctor Clinic in Brisbane</w:t>
      </w:r>
      <w:r>
        <w:t>.</w:t>
      </w:r>
      <w:r w:rsidRPr="003615E1">
        <w:t xml:space="preserve">  The researchers conducting this study are:</w:t>
      </w:r>
    </w:p>
    <w:p w14:paraId="5FA99966" w14:textId="36B95707" w:rsidR="00084F99" w:rsidRPr="00084F99" w:rsidRDefault="00084F99" w:rsidP="00084F99">
      <w:pPr>
        <w:pStyle w:val="ListParagraph"/>
        <w:numPr>
          <w:ilvl w:val="0"/>
          <w:numId w:val="18"/>
        </w:numPr>
        <w:spacing w:after="0" w:line="240" w:lineRule="auto"/>
        <w:jc w:val="both"/>
        <w:outlineLvl w:val="3"/>
      </w:pPr>
      <w:r w:rsidRPr="003615E1">
        <w:rPr>
          <w:b/>
        </w:rPr>
        <w:t>Dr Deborah Mills</w:t>
      </w:r>
      <w:r w:rsidRPr="003615E1">
        <w:t>, Medical Director of Dr Deb The Travel Doctor Clinic in Brisbane.</w:t>
      </w:r>
    </w:p>
    <w:p w14:paraId="55A73BC6" w14:textId="6785F7CA" w:rsidR="008115E7" w:rsidRDefault="008115E7" w:rsidP="008115E7">
      <w:pPr>
        <w:pStyle w:val="ListParagraph"/>
        <w:numPr>
          <w:ilvl w:val="0"/>
          <w:numId w:val="18"/>
        </w:numPr>
        <w:spacing w:after="0" w:line="240" w:lineRule="auto"/>
        <w:jc w:val="both"/>
        <w:outlineLvl w:val="3"/>
      </w:pPr>
      <w:r w:rsidRPr="003615E1">
        <w:rPr>
          <w:b/>
        </w:rPr>
        <w:t>Dr Colleen Lau</w:t>
      </w:r>
      <w:r w:rsidRPr="003615E1">
        <w:t>, an academic researcher at the Research School of Population Health at the Australian National University.  Dr Lau has over 15 years of experience as a travel medicine doctor, and has conducted many research projects on travel vaccinations and travellers’ health.</w:t>
      </w:r>
    </w:p>
    <w:p w14:paraId="53BD95A7" w14:textId="41F5BEFA" w:rsidR="009B232A" w:rsidRPr="003615E1" w:rsidRDefault="009B232A" w:rsidP="009B232A">
      <w:pPr>
        <w:pStyle w:val="ListParagraph"/>
        <w:numPr>
          <w:ilvl w:val="0"/>
          <w:numId w:val="18"/>
        </w:numPr>
        <w:spacing w:after="0" w:line="240" w:lineRule="auto"/>
        <w:jc w:val="both"/>
        <w:outlineLvl w:val="3"/>
      </w:pPr>
      <w:r>
        <w:rPr>
          <w:b/>
        </w:rPr>
        <w:t xml:space="preserve">Dr Luis </w:t>
      </w:r>
      <w:proofErr w:type="spellStart"/>
      <w:r>
        <w:rPr>
          <w:b/>
        </w:rPr>
        <w:t>Furuya</w:t>
      </w:r>
      <w:proofErr w:type="spellEnd"/>
      <w:r>
        <w:rPr>
          <w:b/>
        </w:rPr>
        <w:t>-Kanamori</w:t>
      </w:r>
      <w:r w:rsidRPr="009B232A">
        <w:t>, NHMRC Fellow, Research School of Population Health, ANU</w:t>
      </w:r>
    </w:p>
    <w:p w14:paraId="044E25B8" w14:textId="77777777" w:rsidR="008115E7" w:rsidRPr="003615E1" w:rsidRDefault="008115E7" w:rsidP="008115E7">
      <w:pPr>
        <w:jc w:val="both"/>
        <w:outlineLvl w:val="3"/>
      </w:pPr>
    </w:p>
    <w:p w14:paraId="2AC60FF7" w14:textId="077A9D4E" w:rsidR="008115E7" w:rsidRPr="003615E1" w:rsidRDefault="008115E7" w:rsidP="008115E7">
      <w:pPr>
        <w:jc w:val="both"/>
        <w:outlineLvl w:val="3"/>
      </w:pPr>
      <w:r w:rsidRPr="003615E1">
        <w:t xml:space="preserve">The ethical aspects of the study have been approved by the Human Research Ethics Committee of the </w:t>
      </w:r>
      <w:r w:rsidRPr="003615E1">
        <w:rPr>
          <w:b/>
        </w:rPr>
        <w:t>Australian National University</w:t>
      </w:r>
      <w:r w:rsidRPr="003615E1">
        <w:t>.</w:t>
      </w:r>
    </w:p>
    <w:p w14:paraId="31792208" w14:textId="05B3386C" w:rsidR="00E669BD" w:rsidRDefault="008115E7" w:rsidP="00814F3B">
      <w:pPr>
        <w:pStyle w:val="Heading2"/>
      </w:pPr>
      <w:r w:rsidRPr="00E669BD">
        <w:t>Project Title</w:t>
      </w:r>
      <w:r w:rsidR="000453ED">
        <w:t>:</w:t>
      </w:r>
    </w:p>
    <w:p w14:paraId="47882F2C" w14:textId="77777777" w:rsidR="00814F3B" w:rsidRPr="00814F3B" w:rsidRDefault="00814F3B" w:rsidP="00814F3B">
      <w:pPr>
        <w:rPr>
          <w:sz w:val="10"/>
          <w:szCs w:val="10"/>
        </w:rPr>
      </w:pPr>
    </w:p>
    <w:p w14:paraId="5E3355CB" w14:textId="3ADB3103" w:rsidR="008115E7" w:rsidRPr="00E669BD" w:rsidRDefault="00DC47C6" w:rsidP="00E669BD">
      <w:pPr>
        <w:jc w:val="center"/>
        <w:outlineLvl w:val="3"/>
        <w:rPr>
          <w:b/>
        </w:rPr>
      </w:pPr>
      <w:proofErr w:type="spellStart"/>
      <w:r w:rsidRPr="00DC47C6">
        <w:rPr>
          <w:b/>
          <w:bCs/>
        </w:rPr>
        <w:t>B</w:t>
      </w:r>
      <w:r w:rsidRPr="00DC47C6">
        <w:rPr>
          <w:b/>
        </w:rPr>
        <w:t>oostability</w:t>
      </w:r>
      <w:proofErr w:type="spellEnd"/>
      <w:r w:rsidRPr="00DC47C6">
        <w:rPr>
          <w:b/>
        </w:rPr>
        <w:t xml:space="preserve"> of </w:t>
      </w:r>
      <w:r w:rsidRPr="00DC47C6">
        <w:rPr>
          <w:b/>
          <w:bCs/>
        </w:rPr>
        <w:t>O</w:t>
      </w:r>
      <w:r w:rsidRPr="00DC47C6">
        <w:rPr>
          <w:b/>
        </w:rPr>
        <w:t xml:space="preserve">ne dose IM </w:t>
      </w:r>
      <w:r w:rsidRPr="00DC47C6">
        <w:rPr>
          <w:b/>
          <w:bCs/>
        </w:rPr>
        <w:t>R</w:t>
      </w:r>
      <w:r w:rsidR="00850658">
        <w:rPr>
          <w:b/>
        </w:rPr>
        <w:t xml:space="preserve">abies vaccine, especially </w:t>
      </w:r>
      <w:r w:rsidRPr="00DC47C6">
        <w:rPr>
          <w:b/>
        </w:rPr>
        <w:t xml:space="preserve">in </w:t>
      </w:r>
      <w:r w:rsidRPr="00DC47C6">
        <w:rPr>
          <w:b/>
          <w:bCs/>
        </w:rPr>
        <w:t>S</w:t>
      </w:r>
      <w:r w:rsidRPr="00DC47C6">
        <w:rPr>
          <w:b/>
        </w:rPr>
        <w:t>enior age groups</w:t>
      </w:r>
      <w:r>
        <w:rPr>
          <w:b/>
        </w:rPr>
        <w:t xml:space="preserve"> (BORS)</w:t>
      </w:r>
    </w:p>
    <w:p w14:paraId="082FEBE3" w14:textId="77777777" w:rsidR="00E669BD" w:rsidRPr="00814F3B" w:rsidRDefault="00E669BD" w:rsidP="00E669BD">
      <w:pPr>
        <w:pStyle w:val="Heading2"/>
        <w:rPr>
          <w:sz w:val="10"/>
          <w:szCs w:val="10"/>
        </w:rPr>
      </w:pPr>
    </w:p>
    <w:p w14:paraId="0975CE5E" w14:textId="72E9A370" w:rsidR="00E669BD" w:rsidRPr="00E669BD" w:rsidRDefault="008115E7" w:rsidP="00E669BD">
      <w:pPr>
        <w:pStyle w:val="Heading2"/>
      </w:pPr>
      <w:r w:rsidRPr="00E669BD">
        <w:t>General Outline of the Project:</w:t>
      </w:r>
    </w:p>
    <w:p w14:paraId="2F921E5C" w14:textId="77777777" w:rsidR="008115E7" w:rsidRPr="00E669BD" w:rsidRDefault="008115E7" w:rsidP="008115E7">
      <w:pPr>
        <w:spacing w:after="240"/>
        <w:jc w:val="both"/>
      </w:pPr>
      <w:r w:rsidRPr="00E669BD">
        <w:rPr>
          <w:b/>
        </w:rPr>
        <w:t>A. Description and Methodology:</w:t>
      </w:r>
      <w:r w:rsidRPr="00E669BD">
        <w:t xml:space="preserve"> </w:t>
      </w:r>
    </w:p>
    <w:p w14:paraId="72B47361" w14:textId="0F1B5A16" w:rsidR="008115E7" w:rsidRDefault="008115E7" w:rsidP="008115E7">
      <w:r>
        <w:t xml:space="preserve">Rabies is a fatal disease, present in most countries outside Australia, so poses a risk to Australian travellers. </w:t>
      </w:r>
      <w:r w:rsidRPr="00CA3013">
        <w:t>Although deaths in travellers are rare (60 reported cases 1990 – 2012</w:t>
      </w:r>
      <w:r w:rsidRPr="00CA3013">
        <w:rPr>
          <w:position w:val="16"/>
        </w:rPr>
        <w:t xml:space="preserve"> </w:t>
      </w:r>
      <w:r w:rsidRPr="00CA3013">
        <w:t>), rabies risk exposures are relatively common (2-13/1000 travellers per month)</w:t>
      </w:r>
      <w:r w:rsidR="00E669BD">
        <w:t xml:space="preserve">. </w:t>
      </w:r>
      <w:r w:rsidRPr="00CA3013">
        <w:t xml:space="preserve"> In travellers who are aware the horrors of this untreatable disease, a potential rabies exposure can be stressful, and cause major disruption to travel plans in the quest for appropriate treatment. </w:t>
      </w:r>
    </w:p>
    <w:p w14:paraId="0FBB56F7" w14:textId="082CE0BD" w:rsidR="008115E7" w:rsidRDefault="00E669BD" w:rsidP="008115E7">
      <w:r>
        <w:t>Pre-</w:t>
      </w:r>
      <w:r w:rsidR="00DC47C6">
        <w:t>exposure rabies vaccination</w:t>
      </w:r>
      <w:r>
        <w:t xml:space="preserve"> (</w:t>
      </w:r>
      <w:proofErr w:type="spellStart"/>
      <w:r>
        <w:t>PrEP</w:t>
      </w:r>
      <w:proofErr w:type="spellEnd"/>
      <w:r>
        <w:t>)</w:t>
      </w:r>
      <w:r w:rsidR="00DC47C6">
        <w:t xml:space="preserve"> simplifies the treatment of animal exposures if t</w:t>
      </w:r>
      <w:r w:rsidR="00850658">
        <w:t>hey should occur during travel.</w:t>
      </w:r>
      <w:r w:rsidR="00DC47C6">
        <w:t xml:space="preserve"> The standard recommendations for rabies</w:t>
      </w:r>
      <w:r>
        <w:t xml:space="preserve"> </w:t>
      </w:r>
      <w:proofErr w:type="spellStart"/>
      <w:r>
        <w:t>PrEP</w:t>
      </w:r>
      <w:proofErr w:type="spellEnd"/>
      <w:r>
        <w:t xml:space="preserve"> </w:t>
      </w:r>
      <w:r w:rsidR="00DC47C6">
        <w:t xml:space="preserve">is to give 2-3 doses of vaccine prior to departure </w:t>
      </w:r>
    </w:p>
    <w:p w14:paraId="383F1848" w14:textId="77777777" w:rsidR="00EF4E57" w:rsidRDefault="00E15F8D" w:rsidP="00DC47C6">
      <w:r>
        <w:t xml:space="preserve">The </w:t>
      </w:r>
      <w:r w:rsidR="00E669BD">
        <w:t>Australian recommended</w:t>
      </w:r>
      <w:r>
        <w:t xml:space="preserve"> </w:t>
      </w:r>
      <w:proofErr w:type="spellStart"/>
      <w:r w:rsidR="00E669BD">
        <w:t>PrEP</w:t>
      </w:r>
      <w:proofErr w:type="spellEnd"/>
      <w:r w:rsidR="00E669BD">
        <w:t xml:space="preserve"> </w:t>
      </w:r>
      <w:r w:rsidR="00DC47C6">
        <w:t xml:space="preserve"> </w:t>
      </w:r>
      <w:r w:rsidR="00E669BD">
        <w:t>is</w:t>
      </w:r>
      <w:r w:rsidR="00DC47C6">
        <w:t xml:space="preserve"> one dose of</w:t>
      </w:r>
      <w:r>
        <w:t xml:space="preserve"> </w:t>
      </w:r>
      <w:r w:rsidR="00E669BD">
        <w:t xml:space="preserve">Rabies </w:t>
      </w:r>
      <w:r>
        <w:t xml:space="preserve">vaccine </w:t>
      </w:r>
      <w:r w:rsidR="00DC47C6">
        <w:t>given on day 0,7,</w:t>
      </w:r>
      <w:r w:rsidR="00E669BD">
        <w:t xml:space="preserve">and </w:t>
      </w:r>
      <w:r w:rsidR="00DC47C6">
        <w:t>21-28. Many travellers are leaving at short n</w:t>
      </w:r>
      <w:r w:rsidR="00E669BD">
        <w:t>otice and do not have time to</w:t>
      </w:r>
      <w:r w:rsidR="00DC47C6">
        <w:t xml:space="preserve"> complete </w:t>
      </w:r>
      <w:r w:rsidR="00E669BD">
        <w:t xml:space="preserve">this </w:t>
      </w:r>
      <w:r w:rsidR="00DC47C6">
        <w:t>pre departure rabies vaccine course. Recent research has suggested that two doses or even one dose may be sufficient to prime the immune system</w:t>
      </w:r>
      <w:r w:rsidR="00E669BD">
        <w:t>, and simplify the post exposure treatment of at risk animal exposures</w:t>
      </w:r>
      <w:r w:rsidR="00DC47C6">
        <w:t xml:space="preserve">. Much of the research in the past has be done on young soldiers etc. </w:t>
      </w:r>
    </w:p>
    <w:p w14:paraId="06162E4F" w14:textId="77777777" w:rsidR="00B66EC7" w:rsidRDefault="00B66EC7" w:rsidP="00DC47C6"/>
    <w:p w14:paraId="11892822" w14:textId="77777777" w:rsidR="00B66EC7" w:rsidRDefault="00B66EC7" w:rsidP="00DC47C6"/>
    <w:p w14:paraId="6EEA4420" w14:textId="1BFB44C0" w:rsidR="008115E7" w:rsidRPr="00084F99" w:rsidRDefault="00DC47C6" w:rsidP="00DC47C6">
      <w:r>
        <w:t>There is very limited resea</w:t>
      </w:r>
      <w:r w:rsidR="00487609">
        <w:t>rch in persons over the age of 5</w:t>
      </w:r>
      <w:r>
        <w:t xml:space="preserve">0 years to confirm that persons in this age group </w:t>
      </w:r>
      <w:r w:rsidR="00E669BD">
        <w:t xml:space="preserve">mount an adequate </w:t>
      </w:r>
      <w:r>
        <w:t xml:space="preserve">immune response to lower doses of rabies vaccine. </w:t>
      </w:r>
    </w:p>
    <w:p w14:paraId="2C447FFB" w14:textId="4E867DB4" w:rsidR="008115E7" w:rsidRPr="003615E1" w:rsidRDefault="008115E7" w:rsidP="008115E7">
      <w:pPr>
        <w:spacing w:after="240"/>
        <w:jc w:val="both"/>
      </w:pPr>
      <w:r w:rsidRPr="00E669BD">
        <w:rPr>
          <w:b/>
        </w:rPr>
        <w:t>B. Participants:</w:t>
      </w:r>
      <w:r w:rsidRPr="003615E1">
        <w:rPr>
          <w:b/>
        </w:rPr>
        <w:t xml:space="preserve">  </w:t>
      </w:r>
      <w:r w:rsidRPr="003615E1">
        <w:t xml:space="preserve">Participants will be recruited from </w:t>
      </w:r>
      <w:r w:rsidR="00084F99">
        <w:t>our</w:t>
      </w:r>
      <w:r w:rsidRPr="003615E1">
        <w:t xml:space="preserve"> special</w:t>
      </w:r>
      <w:r>
        <w:t>ist travel medicine clinic</w:t>
      </w:r>
      <w:r w:rsidRPr="003615E1">
        <w:t xml:space="preserve">: Dr Deb </w:t>
      </w:r>
      <w:r>
        <w:t xml:space="preserve">- </w:t>
      </w:r>
      <w:r w:rsidRPr="003615E1">
        <w:t>The Travel Doctor in Brisbane</w:t>
      </w:r>
      <w:r>
        <w:t xml:space="preserve">. </w:t>
      </w:r>
      <w:r w:rsidR="00E669BD">
        <w:t xml:space="preserve"> Adult Australian residents </w:t>
      </w:r>
      <w:r w:rsidR="00850658">
        <w:t xml:space="preserve">between 18 and 99, with 50% participants </w:t>
      </w:r>
      <w:r w:rsidR="00E669BD">
        <w:t xml:space="preserve">over </w:t>
      </w:r>
      <w:r w:rsidR="00487609">
        <w:t>5</w:t>
      </w:r>
      <w:r w:rsidR="00DC47C6">
        <w:t>0</w:t>
      </w:r>
      <w:r w:rsidR="00E669BD">
        <w:t xml:space="preserve"> years of age,</w:t>
      </w:r>
      <w:r w:rsidRPr="003615E1">
        <w:t xml:space="preserve"> </w:t>
      </w:r>
      <w:r>
        <w:t xml:space="preserve">who </w:t>
      </w:r>
      <w:r w:rsidR="00DC47C6">
        <w:t xml:space="preserve">have never </w:t>
      </w:r>
      <w:r>
        <w:t xml:space="preserve">received </w:t>
      </w:r>
      <w:r w:rsidR="00E15F8D">
        <w:t>a</w:t>
      </w:r>
      <w:r>
        <w:t xml:space="preserve"> course of rabies vaccine will be invited to participate. </w:t>
      </w:r>
      <w:r w:rsidRPr="003615E1">
        <w:t xml:space="preserve"> The stud</w:t>
      </w:r>
      <w:r w:rsidR="00850658">
        <w:t>y aims to include approximately</w:t>
      </w:r>
      <w:r w:rsidRPr="00E669BD">
        <w:rPr>
          <w:color w:val="FF0000"/>
        </w:rPr>
        <w:t xml:space="preserve"> </w:t>
      </w:r>
      <w:r w:rsidR="00850658">
        <w:t>100 t</w:t>
      </w:r>
      <w:r w:rsidRPr="003615E1">
        <w:t xml:space="preserve">ravellers. </w:t>
      </w:r>
      <w:r>
        <w:t xml:space="preserve"> </w:t>
      </w:r>
    </w:p>
    <w:p w14:paraId="5AEE7981" w14:textId="35541AAB" w:rsidR="008115E7" w:rsidRPr="003615E1" w:rsidRDefault="008115E7" w:rsidP="008115E7">
      <w:pPr>
        <w:spacing w:after="240"/>
        <w:jc w:val="both"/>
        <w:rPr>
          <w:b/>
          <w:bCs/>
          <w:color w:val="335C85"/>
        </w:rPr>
      </w:pPr>
      <w:r w:rsidRPr="00E669BD">
        <w:rPr>
          <w:b/>
        </w:rPr>
        <w:t>C. Use of Data and Feedback:</w:t>
      </w:r>
      <w:r w:rsidRPr="003615E1">
        <w:rPr>
          <w:b/>
        </w:rPr>
        <w:t xml:space="preserve"> </w:t>
      </w:r>
      <w:r w:rsidRPr="003615E1">
        <w:t xml:space="preserve">It is anticipated that the results of the study will provide valuable information to support the </w:t>
      </w:r>
      <w:r>
        <w:t xml:space="preserve">long term effectiveness of </w:t>
      </w:r>
      <w:r w:rsidR="00DC47C6">
        <w:t xml:space="preserve">shorter </w:t>
      </w:r>
      <w:proofErr w:type="spellStart"/>
      <w:r w:rsidR="00E669BD">
        <w:t>PrEP</w:t>
      </w:r>
      <w:proofErr w:type="spellEnd"/>
      <w:r w:rsidR="00E669BD">
        <w:t xml:space="preserve"> </w:t>
      </w:r>
      <w:r>
        <w:t>for rabies</w:t>
      </w:r>
      <w:r w:rsidRPr="003615E1">
        <w:t xml:space="preserve"> prevention. On completion of the study, the research team plans to publish the results in an internationally recognised medical journal so that this important information can be shared with the medical and scientific community to improve the health of travellers</w:t>
      </w:r>
      <w:r w:rsidR="00E669BD">
        <w:t xml:space="preserve"> world</w:t>
      </w:r>
      <w:r w:rsidR="001F780B">
        <w:t>-</w:t>
      </w:r>
      <w:r w:rsidR="00E669BD">
        <w:t>wide</w:t>
      </w:r>
      <w:r w:rsidRPr="003615E1">
        <w:t xml:space="preserve">. Individuals will not be identified when results are presented or published. A summary of the results will be posted on the </w:t>
      </w:r>
      <w:r w:rsidR="0065691F">
        <w:t>clinic website www.thetraveldoctor.com.au</w:t>
      </w:r>
      <w:r w:rsidRPr="003615E1">
        <w:t>.</w:t>
      </w:r>
      <w:r w:rsidRPr="003615E1">
        <w:rPr>
          <w:b/>
          <w:bCs/>
          <w:color w:val="335C85"/>
        </w:rPr>
        <w:t xml:space="preserve"> </w:t>
      </w:r>
    </w:p>
    <w:p w14:paraId="09B821FC" w14:textId="77777777" w:rsidR="008115E7" w:rsidRPr="003615E1" w:rsidRDefault="008115E7" w:rsidP="008115E7">
      <w:pPr>
        <w:spacing w:after="240"/>
        <w:jc w:val="both"/>
      </w:pPr>
      <w:r w:rsidRPr="00E669BD">
        <w:rPr>
          <w:b/>
        </w:rPr>
        <w:t>D. Project Funding</w:t>
      </w:r>
      <w:r w:rsidRPr="009B232A">
        <w:rPr>
          <w:b/>
          <w:bCs/>
          <w:color w:val="335C85"/>
        </w:rPr>
        <w:t xml:space="preserve">: </w:t>
      </w:r>
      <w:r w:rsidRPr="009B232A">
        <w:t>This project does not have any specific funding.</w:t>
      </w:r>
      <w:r w:rsidRPr="009B232A">
        <w:rPr>
          <w:color w:val="7030A0"/>
        </w:rPr>
        <w:t xml:space="preserve"> </w:t>
      </w:r>
      <w:r w:rsidRPr="009B232A">
        <w:t>It is being conducted</w:t>
      </w:r>
      <w:r w:rsidRPr="003615E1">
        <w:t xml:space="preserve"> by the doctors and nurses at the participating clinics at their own cost, with the aim of improving clinical best practice in travel medicine.  </w:t>
      </w:r>
    </w:p>
    <w:p w14:paraId="77FC6509" w14:textId="77777777" w:rsidR="008115E7" w:rsidRDefault="008115E7" w:rsidP="00E669BD">
      <w:pPr>
        <w:pStyle w:val="Heading2"/>
      </w:pPr>
      <w:r w:rsidRPr="003615E1">
        <w:t>Participant involvement:</w:t>
      </w:r>
    </w:p>
    <w:p w14:paraId="4D2122F5" w14:textId="70390D10" w:rsidR="00E669BD" w:rsidRPr="00814F3B" w:rsidRDefault="00E669BD" w:rsidP="00E669BD">
      <w:pPr>
        <w:rPr>
          <w:sz w:val="10"/>
          <w:szCs w:val="10"/>
        </w:rPr>
      </w:pPr>
    </w:p>
    <w:p w14:paraId="28BCF5B8" w14:textId="1CCBD91F" w:rsidR="008115E7" w:rsidRPr="003615E1" w:rsidRDefault="008115E7" w:rsidP="008115E7">
      <w:pPr>
        <w:spacing w:after="240"/>
        <w:jc w:val="both"/>
        <w:rPr>
          <w:color w:val="FF0000"/>
        </w:rPr>
      </w:pPr>
      <w:r w:rsidRPr="00E669BD">
        <w:rPr>
          <w:b/>
          <w:bCs/>
        </w:rPr>
        <w:t>A. Voluntary Participation &amp; Withdrawal</w:t>
      </w:r>
      <w:r w:rsidRPr="00E669BD">
        <w:rPr>
          <w:b/>
          <w:bCs/>
          <w:color w:val="335C85"/>
        </w:rPr>
        <w:t>:</w:t>
      </w:r>
      <w:r w:rsidRPr="003615E1">
        <w:rPr>
          <w:b/>
          <w:bCs/>
          <w:color w:val="335C85"/>
        </w:rPr>
        <w:t xml:space="preserve"> </w:t>
      </w:r>
      <w:r w:rsidRPr="003615E1">
        <w:t xml:space="preserve">Taking part in this study is entirely voluntary.  There are no negative consequences if you decide not to participate, and you will continue to receive the usual high standard of pre-travel and post-travel advice from the doctors and nurses. The study involves </w:t>
      </w:r>
      <w:r w:rsidR="00084F99">
        <w:t>2</w:t>
      </w:r>
      <w:r w:rsidRPr="003615E1">
        <w:t xml:space="preserve"> questionnaires </w:t>
      </w:r>
      <w:r w:rsidR="00084F99">
        <w:t xml:space="preserve">- one in the clinic and one </w:t>
      </w:r>
      <w:r w:rsidR="00DC47C6">
        <w:t>74</w:t>
      </w:r>
      <w:r w:rsidR="00084F99">
        <w:t xml:space="preserve"> days </w:t>
      </w:r>
      <w:r w:rsidR="00DC47C6">
        <w:t>later</w:t>
      </w:r>
      <w:r w:rsidR="00E15F8D">
        <w:t xml:space="preserve"> by phone</w:t>
      </w:r>
      <w:r w:rsidR="00E669BD">
        <w:t>.</w:t>
      </w:r>
      <w:r w:rsidR="00E15F8D">
        <w:t xml:space="preserve"> </w:t>
      </w:r>
      <w:r w:rsidR="00E669BD">
        <w:t>Y</w:t>
      </w:r>
      <w:r w:rsidRPr="003615E1">
        <w:t xml:space="preserve">ou will need to participate in </w:t>
      </w:r>
      <w:r w:rsidR="00DC47C6">
        <w:t>both</w:t>
      </w:r>
      <w:r w:rsidRPr="003615E1">
        <w:t xml:space="preserve"> questionnaires but you may decline to answer particular questions. You may decline to participate or decide to withdraw at any time without having to provide an explanation. If you decide to withdraw, your data will be destroyed and excluded from the pool of results. However, once the results have been published, we will not be able to withdraw your de-identified data from the overall findings. We recommend that you read this document carefully, and discuss any questions with Dr Colleen Lau, </w:t>
      </w:r>
      <w:r>
        <w:t xml:space="preserve">or </w:t>
      </w:r>
      <w:r w:rsidRPr="003615E1">
        <w:t>Dr Deborah Mills</w:t>
      </w:r>
      <w:r>
        <w:t xml:space="preserve">. </w:t>
      </w:r>
      <w:r w:rsidRPr="003615E1">
        <w:t>Contact details are provided at the end of this document.</w:t>
      </w:r>
    </w:p>
    <w:p w14:paraId="56884040" w14:textId="20BD3D58" w:rsidR="00A73EDB" w:rsidRDefault="008115E7" w:rsidP="008115E7">
      <w:pPr>
        <w:spacing w:after="120"/>
        <w:jc w:val="both"/>
        <w:rPr>
          <w:b/>
        </w:rPr>
      </w:pPr>
      <w:r w:rsidRPr="00E669BD">
        <w:rPr>
          <w:b/>
        </w:rPr>
        <w:t>B. What does participation in the research entail?</w:t>
      </w:r>
      <w:r w:rsidRPr="003615E1">
        <w:rPr>
          <w:b/>
        </w:rPr>
        <w:t xml:space="preserve"> </w:t>
      </w:r>
    </w:p>
    <w:p w14:paraId="399E7A09" w14:textId="77777777" w:rsidR="00A73EDB" w:rsidRPr="003615E1" w:rsidRDefault="00A73EDB" w:rsidP="00A73EDB">
      <w:pPr>
        <w:spacing w:after="120"/>
        <w:jc w:val="both"/>
      </w:pPr>
      <w:r w:rsidRPr="003615E1">
        <w:t>To par</w:t>
      </w:r>
      <w:r>
        <w:t xml:space="preserve">ticipate in the study, the nurse will assist you to fill out the first questionnaire with basic demographic details. You will then </w:t>
      </w:r>
      <w:r w:rsidRPr="003615E1">
        <w:t xml:space="preserve">be requested to </w:t>
      </w:r>
      <w:r>
        <w:t xml:space="preserve">have 10 </w:t>
      </w:r>
      <w:proofErr w:type="spellStart"/>
      <w:r>
        <w:t>mls</w:t>
      </w:r>
      <w:proofErr w:type="spellEnd"/>
      <w:r>
        <w:t xml:space="preserve"> of blood drawn for rabies serology. On that day, you will be given a single intramuscular rabies vaccine. 60 days later you will be asked to return for a further rabies vaccine. On day 63 you will be given a third and final rabies vaccine.  A blood sample will be taken at 67 days from the start. You will be rung at approximately 74 days to ask about side effects from the vaccine and be given the results of your blood tests.  If your level is less than necessary, you will be offered a final blood test at day 81.</w:t>
      </w:r>
    </w:p>
    <w:p w14:paraId="0057F815" w14:textId="77777777" w:rsidR="00B66EC7" w:rsidRDefault="00B66EC7" w:rsidP="008115E7">
      <w:pPr>
        <w:spacing w:after="120"/>
        <w:jc w:val="both"/>
        <w:rPr>
          <w:b/>
        </w:rPr>
      </w:pPr>
      <w:bookmarkStart w:id="0" w:name="_GoBack"/>
      <w:bookmarkEnd w:id="0"/>
    </w:p>
    <w:tbl>
      <w:tblPr>
        <w:tblStyle w:val="TableGridLight"/>
        <w:tblW w:w="8949" w:type="dxa"/>
        <w:tblInd w:w="-5" w:type="dxa"/>
        <w:tblLayout w:type="fixed"/>
        <w:tblLook w:val="04A0" w:firstRow="1" w:lastRow="0" w:firstColumn="1" w:lastColumn="0" w:noHBand="0" w:noVBand="1"/>
      </w:tblPr>
      <w:tblGrid>
        <w:gridCol w:w="1147"/>
        <w:gridCol w:w="1117"/>
        <w:gridCol w:w="873"/>
        <w:gridCol w:w="1276"/>
        <w:gridCol w:w="1134"/>
        <w:gridCol w:w="1276"/>
        <w:gridCol w:w="1134"/>
        <w:gridCol w:w="992"/>
      </w:tblGrid>
      <w:tr w:rsidR="00A73EDB" w14:paraId="0225D267" w14:textId="77777777" w:rsidTr="00AF513E">
        <w:trPr>
          <w:trHeight w:val="477"/>
        </w:trPr>
        <w:tc>
          <w:tcPr>
            <w:tcW w:w="1147" w:type="dxa"/>
          </w:tcPr>
          <w:p w14:paraId="28E854FA" w14:textId="77777777" w:rsidR="00A73EDB" w:rsidRPr="00A73EDB" w:rsidRDefault="00A73EDB" w:rsidP="00B206A1">
            <w:pPr>
              <w:rPr>
                <w:rFonts w:asciiTheme="majorHAnsi" w:hAnsiTheme="majorHAnsi"/>
                <w:sz w:val="28"/>
                <w:szCs w:val="28"/>
              </w:rPr>
            </w:pPr>
            <w:r w:rsidRPr="00A73EDB">
              <w:rPr>
                <w:rFonts w:asciiTheme="majorHAnsi" w:hAnsiTheme="majorHAnsi"/>
                <w:sz w:val="28"/>
                <w:szCs w:val="28"/>
              </w:rPr>
              <w:lastRenderedPageBreak/>
              <w:t>Trial DAY</w:t>
            </w:r>
          </w:p>
        </w:tc>
        <w:tc>
          <w:tcPr>
            <w:tcW w:w="1117" w:type="dxa"/>
          </w:tcPr>
          <w:p w14:paraId="7410BF01" w14:textId="77777777" w:rsidR="00A73EDB" w:rsidRPr="00A73EDB" w:rsidRDefault="00A73EDB" w:rsidP="00B206A1">
            <w:pPr>
              <w:jc w:val="center"/>
              <w:rPr>
                <w:rFonts w:asciiTheme="majorHAnsi" w:hAnsiTheme="majorHAnsi"/>
                <w:sz w:val="56"/>
                <w:szCs w:val="56"/>
              </w:rPr>
            </w:pPr>
            <w:r w:rsidRPr="00A73EDB">
              <w:rPr>
                <w:rFonts w:asciiTheme="majorHAnsi" w:hAnsiTheme="majorHAnsi"/>
                <w:sz w:val="56"/>
                <w:szCs w:val="56"/>
              </w:rPr>
              <w:t>0</w:t>
            </w:r>
          </w:p>
        </w:tc>
        <w:tc>
          <w:tcPr>
            <w:tcW w:w="873" w:type="dxa"/>
          </w:tcPr>
          <w:p w14:paraId="417C6E71" w14:textId="77777777" w:rsidR="00A73EDB" w:rsidRPr="00A73EDB" w:rsidRDefault="00A73EDB" w:rsidP="00B206A1">
            <w:pPr>
              <w:jc w:val="center"/>
              <w:rPr>
                <w:rFonts w:asciiTheme="majorHAnsi" w:hAnsiTheme="majorHAnsi"/>
                <w:sz w:val="56"/>
                <w:szCs w:val="56"/>
              </w:rPr>
            </w:pPr>
          </w:p>
        </w:tc>
        <w:tc>
          <w:tcPr>
            <w:tcW w:w="1276" w:type="dxa"/>
          </w:tcPr>
          <w:p w14:paraId="5DA5C03D" w14:textId="77777777" w:rsidR="00A73EDB" w:rsidRPr="00A73EDB" w:rsidRDefault="00A73EDB" w:rsidP="00B206A1">
            <w:pPr>
              <w:jc w:val="center"/>
              <w:rPr>
                <w:rFonts w:asciiTheme="majorHAnsi" w:hAnsiTheme="majorHAnsi"/>
                <w:sz w:val="56"/>
                <w:szCs w:val="56"/>
              </w:rPr>
            </w:pPr>
            <w:r w:rsidRPr="00A73EDB">
              <w:rPr>
                <w:rFonts w:asciiTheme="majorHAnsi" w:hAnsiTheme="majorHAnsi"/>
                <w:sz w:val="56"/>
                <w:szCs w:val="56"/>
              </w:rPr>
              <w:t>60</w:t>
            </w:r>
          </w:p>
        </w:tc>
        <w:tc>
          <w:tcPr>
            <w:tcW w:w="1134" w:type="dxa"/>
          </w:tcPr>
          <w:p w14:paraId="3ACCC02C" w14:textId="77777777" w:rsidR="00A73EDB" w:rsidRPr="00A73EDB" w:rsidRDefault="00A73EDB" w:rsidP="00B206A1">
            <w:pPr>
              <w:jc w:val="center"/>
              <w:rPr>
                <w:rFonts w:asciiTheme="majorHAnsi" w:hAnsiTheme="majorHAnsi"/>
                <w:sz w:val="56"/>
                <w:szCs w:val="56"/>
              </w:rPr>
            </w:pPr>
            <w:r w:rsidRPr="00A73EDB">
              <w:rPr>
                <w:rFonts w:asciiTheme="majorHAnsi" w:hAnsiTheme="majorHAnsi"/>
                <w:sz w:val="56"/>
                <w:szCs w:val="56"/>
              </w:rPr>
              <w:t>63</w:t>
            </w:r>
          </w:p>
        </w:tc>
        <w:tc>
          <w:tcPr>
            <w:tcW w:w="1276" w:type="dxa"/>
          </w:tcPr>
          <w:p w14:paraId="5BF533EC" w14:textId="77777777" w:rsidR="00A73EDB" w:rsidRPr="00A73EDB" w:rsidRDefault="00A73EDB" w:rsidP="00B206A1">
            <w:pPr>
              <w:jc w:val="center"/>
              <w:rPr>
                <w:rFonts w:asciiTheme="majorHAnsi" w:hAnsiTheme="majorHAnsi"/>
                <w:sz w:val="56"/>
                <w:szCs w:val="56"/>
              </w:rPr>
            </w:pPr>
            <w:r w:rsidRPr="00A73EDB">
              <w:rPr>
                <w:rFonts w:asciiTheme="majorHAnsi" w:hAnsiTheme="majorHAnsi"/>
                <w:sz w:val="56"/>
                <w:szCs w:val="56"/>
              </w:rPr>
              <w:t>67</w:t>
            </w:r>
          </w:p>
        </w:tc>
        <w:tc>
          <w:tcPr>
            <w:tcW w:w="1134" w:type="dxa"/>
          </w:tcPr>
          <w:p w14:paraId="68D5B9B3" w14:textId="77777777" w:rsidR="00A73EDB" w:rsidRPr="00A73EDB" w:rsidRDefault="00A73EDB" w:rsidP="00B206A1">
            <w:pPr>
              <w:jc w:val="center"/>
              <w:rPr>
                <w:rFonts w:asciiTheme="majorHAnsi" w:hAnsiTheme="majorHAnsi"/>
                <w:sz w:val="56"/>
                <w:szCs w:val="56"/>
              </w:rPr>
            </w:pPr>
            <w:r w:rsidRPr="00A73EDB">
              <w:rPr>
                <w:rFonts w:asciiTheme="majorHAnsi" w:hAnsiTheme="majorHAnsi"/>
                <w:sz w:val="56"/>
                <w:szCs w:val="56"/>
              </w:rPr>
              <w:t>74</w:t>
            </w:r>
          </w:p>
        </w:tc>
        <w:tc>
          <w:tcPr>
            <w:tcW w:w="992" w:type="dxa"/>
          </w:tcPr>
          <w:p w14:paraId="6A42077A" w14:textId="77777777" w:rsidR="00A73EDB" w:rsidRPr="00A73EDB" w:rsidRDefault="00A73EDB" w:rsidP="00B206A1">
            <w:pPr>
              <w:jc w:val="center"/>
              <w:rPr>
                <w:rFonts w:asciiTheme="majorHAnsi" w:hAnsiTheme="majorHAnsi"/>
                <w:sz w:val="56"/>
                <w:szCs w:val="56"/>
              </w:rPr>
            </w:pPr>
            <w:r w:rsidRPr="00A73EDB">
              <w:rPr>
                <w:rFonts w:asciiTheme="majorHAnsi" w:hAnsiTheme="majorHAnsi"/>
                <w:sz w:val="56"/>
                <w:szCs w:val="56"/>
              </w:rPr>
              <w:t>81</w:t>
            </w:r>
          </w:p>
        </w:tc>
      </w:tr>
      <w:tr w:rsidR="00A73EDB" w14:paraId="1DAF739A" w14:textId="77777777" w:rsidTr="00AF513E">
        <w:trPr>
          <w:trHeight w:val="824"/>
        </w:trPr>
        <w:tc>
          <w:tcPr>
            <w:tcW w:w="1147" w:type="dxa"/>
          </w:tcPr>
          <w:p w14:paraId="00056F4C" w14:textId="77777777" w:rsidR="00A73EDB" w:rsidRPr="00A73EDB" w:rsidRDefault="00A73EDB" w:rsidP="00B206A1">
            <w:pPr>
              <w:jc w:val="center"/>
              <w:rPr>
                <w:rFonts w:asciiTheme="majorHAnsi" w:hAnsiTheme="majorHAnsi"/>
                <w:sz w:val="20"/>
                <w:szCs w:val="20"/>
              </w:rPr>
            </w:pPr>
            <w:r w:rsidRPr="00A73EDB">
              <w:rPr>
                <w:rFonts w:asciiTheme="majorHAnsi" w:hAnsiTheme="majorHAnsi"/>
                <w:sz w:val="20"/>
                <w:szCs w:val="20"/>
              </w:rPr>
              <w:t>Vaccine</w:t>
            </w:r>
          </w:p>
        </w:tc>
        <w:tc>
          <w:tcPr>
            <w:tcW w:w="1117" w:type="dxa"/>
          </w:tcPr>
          <w:p w14:paraId="25F352ED" w14:textId="410B0327" w:rsidR="00A73EDB" w:rsidRPr="00A73EDB" w:rsidRDefault="3AA4A936" w:rsidP="3AA4A936">
            <w:pPr>
              <w:jc w:val="center"/>
              <w:rPr>
                <w:rFonts w:asciiTheme="majorHAnsi" w:hAnsiTheme="majorHAnsi"/>
                <w:color w:val="E36C0A" w:themeColor="accent6" w:themeShade="BF"/>
                <w:sz w:val="20"/>
                <w:szCs w:val="20"/>
              </w:rPr>
            </w:pPr>
            <w:r w:rsidRPr="3AA4A936">
              <w:rPr>
                <w:rFonts w:asciiTheme="majorHAnsi" w:hAnsiTheme="majorHAnsi"/>
                <w:color w:val="E36C0A" w:themeColor="accent6" w:themeShade="BF"/>
                <w:sz w:val="20"/>
                <w:szCs w:val="20"/>
              </w:rPr>
              <w:t xml:space="preserve">IM </w:t>
            </w:r>
          </w:p>
          <w:p w14:paraId="6B8B5ABA" w14:textId="2E660D41" w:rsidR="00A73EDB" w:rsidRPr="00A73EDB" w:rsidRDefault="3AA4A936" w:rsidP="3AA4A936">
            <w:pPr>
              <w:jc w:val="center"/>
              <w:rPr>
                <w:rFonts w:asciiTheme="majorHAnsi" w:hAnsiTheme="majorHAnsi"/>
                <w:color w:val="E36C0A" w:themeColor="accent6" w:themeShade="BF"/>
                <w:sz w:val="20"/>
                <w:szCs w:val="20"/>
              </w:rPr>
            </w:pPr>
            <w:r w:rsidRPr="3AA4A936">
              <w:rPr>
                <w:rFonts w:asciiTheme="majorHAnsi" w:hAnsiTheme="majorHAnsi"/>
                <w:color w:val="E36C0A" w:themeColor="accent6" w:themeShade="BF"/>
                <w:sz w:val="20"/>
                <w:szCs w:val="20"/>
              </w:rPr>
              <w:t>Rabies</w:t>
            </w:r>
          </w:p>
        </w:tc>
        <w:tc>
          <w:tcPr>
            <w:tcW w:w="873" w:type="dxa"/>
          </w:tcPr>
          <w:p w14:paraId="5C24712C" w14:textId="77777777" w:rsidR="00A73EDB" w:rsidRPr="00A73EDB" w:rsidRDefault="00A73EDB" w:rsidP="00B206A1">
            <w:pPr>
              <w:jc w:val="center"/>
              <w:rPr>
                <w:rFonts w:asciiTheme="majorHAnsi" w:hAnsiTheme="majorHAnsi"/>
                <w:sz w:val="20"/>
                <w:szCs w:val="20"/>
              </w:rPr>
            </w:pPr>
          </w:p>
        </w:tc>
        <w:tc>
          <w:tcPr>
            <w:tcW w:w="1276" w:type="dxa"/>
          </w:tcPr>
          <w:p w14:paraId="7D168BB5" w14:textId="77777777" w:rsidR="00A73EDB" w:rsidRPr="00A73EDB" w:rsidRDefault="00A73EDB" w:rsidP="00B206A1">
            <w:pPr>
              <w:jc w:val="center"/>
              <w:rPr>
                <w:rFonts w:asciiTheme="majorHAnsi" w:hAnsiTheme="majorHAnsi"/>
                <w:color w:val="E36C0A" w:themeColor="accent6" w:themeShade="BF"/>
                <w:sz w:val="20"/>
                <w:szCs w:val="20"/>
              </w:rPr>
            </w:pPr>
            <w:r w:rsidRPr="00A73EDB">
              <w:rPr>
                <w:rFonts w:asciiTheme="majorHAnsi" w:hAnsiTheme="majorHAnsi"/>
                <w:color w:val="E36C0A" w:themeColor="accent6" w:themeShade="BF"/>
                <w:sz w:val="20"/>
                <w:szCs w:val="20"/>
              </w:rPr>
              <w:t xml:space="preserve">IM </w:t>
            </w:r>
          </w:p>
          <w:p w14:paraId="64FAA014" w14:textId="77777777" w:rsidR="00A73EDB" w:rsidRPr="00A73EDB" w:rsidRDefault="00A73EDB" w:rsidP="00B206A1">
            <w:pPr>
              <w:jc w:val="center"/>
              <w:rPr>
                <w:rFonts w:asciiTheme="majorHAnsi" w:hAnsiTheme="majorHAnsi"/>
                <w:color w:val="E36C0A" w:themeColor="accent6" w:themeShade="BF"/>
                <w:sz w:val="20"/>
                <w:szCs w:val="20"/>
              </w:rPr>
            </w:pPr>
            <w:r w:rsidRPr="00A73EDB">
              <w:rPr>
                <w:rFonts w:asciiTheme="majorHAnsi" w:hAnsiTheme="majorHAnsi"/>
                <w:color w:val="E36C0A" w:themeColor="accent6" w:themeShade="BF"/>
                <w:sz w:val="20"/>
                <w:szCs w:val="20"/>
              </w:rPr>
              <w:t>Rabies</w:t>
            </w:r>
          </w:p>
        </w:tc>
        <w:tc>
          <w:tcPr>
            <w:tcW w:w="1134" w:type="dxa"/>
          </w:tcPr>
          <w:p w14:paraId="511CFB0D" w14:textId="266D9525" w:rsidR="00A73EDB" w:rsidRPr="00A73EDB" w:rsidRDefault="3AA4A936" w:rsidP="3AA4A936">
            <w:pPr>
              <w:jc w:val="center"/>
              <w:rPr>
                <w:rFonts w:asciiTheme="majorHAnsi" w:hAnsiTheme="majorHAnsi"/>
                <w:color w:val="E36C0A" w:themeColor="accent6" w:themeShade="BF"/>
                <w:sz w:val="20"/>
                <w:szCs w:val="20"/>
              </w:rPr>
            </w:pPr>
            <w:r w:rsidRPr="3AA4A936">
              <w:rPr>
                <w:rFonts w:asciiTheme="majorHAnsi" w:hAnsiTheme="majorHAnsi"/>
                <w:color w:val="E36C0A" w:themeColor="accent6" w:themeShade="BF"/>
                <w:sz w:val="20"/>
                <w:szCs w:val="20"/>
              </w:rPr>
              <w:t xml:space="preserve">IM </w:t>
            </w:r>
          </w:p>
          <w:p w14:paraId="2936455C" w14:textId="1FA873F2" w:rsidR="00A73EDB" w:rsidRPr="00A73EDB" w:rsidRDefault="3AA4A936" w:rsidP="3AA4A936">
            <w:pPr>
              <w:jc w:val="center"/>
              <w:rPr>
                <w:rFonts w:asciiTheme="majorHAnsi" w:hAnsiTheme="majorHAnsi"/>
                <w:color w:val="E36C0A" w:themeColor="accent6" w:themeShade="BF"/>
                <w:sz w:val="20"/>
                <w:szCs w:val="20"/>
              </w:rPr>
            </w:pPr>
            <w:r w:rsidRPr="3AA4A936">
              <w:rPr>
                <w:rFonts w:asciiTheme="majorHAnsi" w:hAnsiTheme="majorHAnsi"/>
                <w:color w:val="E36C0A" w:themeColor="accent6" w:themeShade="BF"/>
                <w:sz w:val="20"/>
                <w:szCs w:val="20"/>
              </w:rPr>
              <w:t>Rabies</w:t>
            </w:r>
          </w:p>
        </w:tc>
        <w:tc>
          <w:tcPr>
            <w:tcW w:w="1276" w:type="dxa"/>
          </w:tcPr>
          <w:p w14:paraId="220FA67A" w14:textId="77777777" w:rsidR="00A73EDB" w:rsidRPr="00A73EDB" w:rsidRDefault="00A73EDB" w:rsidP="00B206A1">
            <w:pPr>
              <w:jc w:val="center"/>
              <w:rPr>
                <w:rFonts w:asciiTheme="majorHAnsi" w:hAnsiTheme="majorHAnsi"/>
                <w:sz w:val="20"/>
                <w:szCs w:val="20"/>
              </w:rPr>
            </w:pPr>
          </w:p>
        </w:tc>
        <w:tc>
          <w:tcPr>
            <w:tcW w:w="1134" w:type="dxa"/>
          </w:tcPr>
          <w:p w14:paraId="4D7257CF" w14:textId="77777777" w:rsidR="00A73EDB" w:rsidRPr="00A73EDB" w:rsidRDefault="00A73EDB" w:rsidP="00B206A1">
            <w:pPr>
              <w:jc w:val="center"/>
              <w:rPr>
                <w:rFonts w:asciiTheme="majorHAnsi" w:hAnsiTheme="majorHAnsi"/>
                <w:sz w:val="20"/>
                <w:szCs w:val="20"/>
              </w:rPr>
            </w:pPr>
          </w:p>
        </w:tc>
        <w:tc>
          <w:tcPr>
            <w:tcW w:w="992" w:type="dxa"/>
          </w:tcPr>
          <w:p w14:paraId="369F7099" w14:textId="77777777" w:rsidR="00A73EDB" w:rsidRPr="00A73EDB" w:rsidRDefault="00A73EDB" w:rsidP="00B206A1">
            <w:pPr>
              <w:jc w:val="center"/>
              <w:rPr>
                <w:rFonts w:asciiTheme="majorHAnsi" w:hAnsiTheme="majorHAnsi"/>
                <w:sz w:val="20"/>
                <w:szCs w:val="20"/>
              </w:rPr>
            </w:pPr>
          </w:p>
        </w:tc>
      </w:tr>
      <w:tr w:rsidR="00A73EDB" w14:paraId="63E220AA" w14:textId="77777777" w:rsidTr="00AF513E">
        <w:trPr>
          <w:trHeight w:val="621"/>
        </w:trPr>
        <w:tc>
          <w:tcPr>
            <w:tcW w:w="1147" w:type="dxa"/>
          </w:tcPr>
          <w:p w14:paraId="6EF2A280" w14:textId="77777777" w:rsidR="00A73EDB" w:rsidRPr="00A73EDB" w:rsidRDefault="00A73EDB" w:rsidP="00B206A1">
            <w:pPr>
              <w:jc w:val="center"/>
              <w:rPr>
                <w:rFonts w:asciiTheme="majorHAnsi" w:hAnsiTheme="majorHAnsi"/>
                <w:sz w:val="20"/>
                <w:szCs w:val="20"/>
              </w:rPr>
            </w:pPr>
            <w:r w:rsidRPr="00A73EDB">
              <w:rPr>
                <w:rFonts w:asciiTheme="majorHAnsi" w:hAnsiTheme="majorHAnsi"/>
                <w:sz w:val="20"/>
                <w:szCs w:val="20"/>
              </w:rPr>
              <w:t>Test</w:t>
            </w:r>
          </w:p>
        </w:tc>
        <w:tc>
          <w:tcPr>
            <w:tcW w:w="1117" w:type="dxa"/>
          </w:tcPr>
          <w:p w14:paraId="671C19DD" w14:textId="43CC1FE0" w:rsidR="00A73EDB" w:rsidRPr="00A73EDB" w:rsidRDefault="3AA4A936" w:rsidP="3AA4A936">
            <w:pPr>
              <w:jc w:val="center"/>
              <w:rPr>
                <w:rFonts w:asciiTheme="majorHAnsi" w:hAnsiTheme="majorHAnsi"/>
                <w:sz w:val="20"/>
                <w:szCs w:val="20"/>
              </w:rPr>
            </w:pPr>
            <w:r w:rsidRPr="3AA4A936">
              <w:rPr>
                <w:rFonts w:asciiTheme="majorHAnsi" w:hAnsiTheme="majorHAnsi"/>
                <w:sz w:val="20"/>
                <w:szCs w:val="20"/>
              </w:rPr>
              <w:t>Serology</w:t>
            </w:r>
          </w:p>
        </w:tc>
        <w:tc>
          <w:tcPr>
            <w:tcW w:w="873" w:type="dxa"/>
          </w:tcPr>
          <w:p w14:paraId="3C19336A" w14:textId="77777777" w:rsidR="00A73EDB" w:rsidRPr="00A73EDB" w:rsidRDefault="00A73EDB" w:rsidP="00B206A1">
            <w:pPr>
              <w:jc w:val="center"/>
              <w:rPr>
                <w:rFonts w:asciiTheme="majorHAnsi" w:hAnsiTheme="majorHAnsi"/>
                <w:sz w:val="20"/>
                <w:szCs w:val="20"/>
              </w:rPr>
            </w:pPr>
          </w:p>
        </w:tc>
        <w:tc>
          <w:tcPr>
            <w:tcW w:w="1276" w:type="dxa"/>
          </w:tcPr>
          <w:p w14:paraId="2DD63436" w14:textId="77777777" w:rsidR="00A73EDB" w:rsidRPr="00A73EDB" w:rsidRDefault="00A73EDB" w:rsidP="00B206A1">
            <w:pPr>
              <w:jc w:val="center"/>
              <w:rPr>
                <w:rFonts w:asciiTheme="majorHAnsi" w:hAnsiTheme="majorHAnsi"/>
                <w:sz w:val="20"/>
                <w:szCs w:val="20"/>
              </w:rPr>
            </w:pPr>
            <w:r w:rsidRPr="00A73EDB">
              <w:rPr>
                <w:rFonts w:asciiTheme="majorHAnsi" w:hAnsiTheme="majorHAnsi"/>
                <w:sz w:val="20"/>
                <w:szCs w:val="20"/>
              </w:rPr>
              <w:t>Serology</w:t>
            </w:r>
          </w:p>
          <w:p w14:paraId="0D9DD922" w14:textId="77777777" w:rsidR="00A73EDB" w:rsidRPr="00A73EDB" w:rsidRDefault="00A73EDB" w:rsidP="00B206A1">
            <w:pPr>
              <w:jc w:val="center"/>
              <w:rPr>
                <w:rFonts w:asciiTheme="majorHAnsi" w:hAnsiTheme="majorHAnsi"/>
                <w:sz w:val="20"/>
                <w:szCs w:val="20"/>
              </w:rPr>
            </w:pPr>
          </w:p>
        </w:tc>
        <w:tc>
          <w:tcPr>
            <w:tcW w:w="1134" w:type="dxa"/>
          </w:tcPr>
          <w:p w14:paraId="7B9F94D6" w14:textId="77777777" w:rsidR="00A73EDB" w:rsidRPr="00A73EDB" w:rsidRDefault="00A73EDB" w:rsidP="00B206A1">
            <w:pPr>
              <w:jc w:val="center"/>
              <w:rPr>
                <w:rFonts w:asciiTheme="majorHAnsi" w:hAnsiTheme="majorHAnsi"/>
                <w:sz w:val="20"/>
                <w:szCs w:val="20"/>
              </w:rPr>
            </w:pPr>
          </w:p>
        </w:tc>
        <w:tc>
          <w:tcPr>
            <w:tcW w:w="1276" w:type="dxa"/>
          </w:tcPr>
          <w:p w14:paraId="341DCB61" w14:textId="77777777" w:rsidR="00A73EDB" w:rsidRPr="00A73EDB" w:rsidRDefault="00A73EDB" w:rsidP="00B206A1">
            <w:pPr>
              <w:jc w:val="center"/>
              <w:rPr>
                <w:rFonts w:asciiTheme="majorHAnsi" w:hAnsiTheme="majorHAnsi"/>
                <w:sz w:val="20"/>
                <w:szCs w:val="20"/>
              </w:rPr>
            </w:pPr>
            <w:r w:rsidRPr="00A73EDB">
              <w:rPr>
                <w:rFonts w:asciiTheme="majorHAnsi" w:hAnsiTheme="majorHAnsi"/>
                <w:sz w:val="20"/>
                <w:szCs w:val="20"/>
              </w:rPr>
              <w:t>Serology</w:t>
            </w:r>
          </w:p>
        </w:tc>
        <w:tc>
          <w:tcPr>
            <w:tcW w:w="1134" w:type="dxa"/>
          </w:tcPr>
          <w:p w14:paraId="761028F8" w14:textId="77777777" w:rsidR="00A73EDB" w:rsidRPr="00A73EDB" w:rsidRDefault="00A73EDB" w:rsidP="00B206A1">
            <w:pPr>
              <w:jc w:val="center"/>
              <w:rPr>
                <w:rFonts w:asciiTheme="majorHAnsi" w:hAnsiTheme="majorHAnsi"/>
                <w:sz w:val="20"/>
                <w:szCs w:val="20"/>
              </w:rPr>
            </w:pPr>
          </w:p>
        </w:tc>
        <w:tc>
          <w:tcPr>
            <w:tcW w:w="992" w:type="dxa"/>
          </w:tcPr>
          <w:p w14:paraId="65009F0A" w14:textId="77777777" w:rsidR="00A73EDB" w:rsidRPr="00A73EDB" w:rsidRDefault="00A73EDB" w:rsidP="00B206A1">
            <w:pPr>
              <w:jc w:val="center"/>
              <w:rPr>
                <w:rFonts w:asciiTheme="majorHAnsi" w:hAnsiTheme="majorHAnsi"/>
                <w:sz w:val="20"/>
                <w:szCs w:val="20"/>
              </w:rPr>
            </w:pPr>
            <w:r w:rsidRPr="00A73EDB">
              <w:rPr>
                <w:rFonts w:asciiTheme="majorHAnsi" w:hAnsiTheme="majorHAnsi"/>
                <w:sz w:val="20"/>
                <w:szCs w:val="20"/>
              </w:rPr>
              <w:t>Serology if needed</w:t>
            </w:r>
          </w:p>
        </w:tc>
      </w:tr>
      <w:tr w:rsidR="00A73EDB" w14:paraId="4B84B854" w14:textId="77777777" w:rsidTr="00AF513E">
        <w:trPr>
          <w:trHeight w:val="607"/>
        </w:trPr>
        <w:tc>
          <w:tcPr>
            <w:tcW w:w="1147" w:type="dxa"/>
          </w:tcPr>
          <w:p w14:paraId="750C1862" w14:textId="77777777" w:rsidR="00A73EDB" w:rsidRPr="00A73EDB" w:rsidRDefault="00A73EDB" w:rsidP="00B206A1">
            <w:pPr>
              <w:jc w:val="center"/>
              <w:rPr>
                <w:rFonts w:asciiTheme="majorHAnsi" w:hAnsiTheme="majorHAnsi"/>
                <w:sz w:val="20"/>
                <w:szCs w:val="20"/>
              </w:rPr>
            </w:pPr>
            <w:r w:rsidRPr="00A73EDB">
              <w:rPr>
                <w:rFonts w:asciiTheme="majorHAnsi" w:hAnsiTheme="majorHAnsi"/>
                <w:sz w:val="20"/>
                <w:szCs w:val="20"/>
              </w:rPr>
              <w:t>Location</w:t>
            </w:r>
          </w:p>
        </w:tc>
        <w:tc>
          <w:tcPr>
            <w:tcW w:w="1117" w:type="dxa"/>
          </w:tcPr>
          <w:p w14:paraId="3C343918" w14:textId="2F3E423A" w:rsidR="00A73EDB" w:rsidRPr="00A73EDB" w:rsidRDefault="00A73EDB" w:rsidP="00A73EDB">
            <w:pPr>
              <w:jc w:val="center"/>
              <w:rPr>
                <w:rFonts w:asciiTheme="majorHAnsi" w:hAnsiTheme="majorHAnsi"/>
                <w:sz w:val="20"/>
                <w:szCs w:val="20"/>
              </w:rPr>
            </w:pPr>
            <w:r w:rsidRPr="00A73EDB">
              <w:rPr>
                <w:rFonts w:asciiTheme="majorHAnsi" w:hAnsiTheme="majorHAnsi"/>
                <w:sz w:val="20"/>
                <w:szCs w:val="20"/>
              </w:rPr>
              <w:t>Clinic</w:t>
            </w:r>
          </w:p>
        </w:tc>
        <w:tc>
          <w:tcPr>
            <w:tcW w:w="873" w:type="dxa"/>
          </w:tcPr>
          <w:p w14:paraId="3A7F198C" w14:textId="77777777" w:rsidR="00A73EDB" w:rsidRPr="00A73EDB" w:rsidRDefault="00A73EDB" w:rsidP="00B206A1">
            <w:pPr>
              <w:jc w:val="center"/>
              <w:rPr>
                <w:rFonts w:asciiTheme="majorHAnsi" w:hAnsiTheme="majorHAnsi"/>
                <w:sz w:val="20"/>
                <w:szCs w:val="20"/>
              </w:rPr>
            </w:pPr>
          </w:p>
        </w:tc>
        <w:tc>
          <w:tcPr>
            <w:tcW w:w="1276" w:type="dxa"/>
          </w:tcPr>
          <w:p w14:paraId="3903E2CE" w14:textId="77777777" w:rsidR="00A73EDB" w:rsidRPr="00A73EDB" w:rsidRDefault="00A73EDB" w:rsidP="00B206A1">
            <w:pPr>
              <w:jc w:val="center"/>
              <w:rPr>
                <w:rFonts w:asciiTheme="majorHAnsi" w:hAnsiTheme="majorHAnsi"/>
                <w:sz w:val="20"/>
                <w:szCs w:val="20"/>
              </w:rPr>
            </w:pPr>
            <w:r w:rsidRPr="00A73EDB">
              <w:rPr>
                <w:rFonts w:asciiTheme="majorHAnsi" w:hAnsiTheme="majorHAnsi"/>
                <w:sz w:val="20"/>
                <w:szCs w:val="20"/>
              </w:rPr>
              <w:t>Clinic</w:t>
            </w:r>
          </w:p>
        </w:tc>
        <w:tc>
          <w:tcPr>
            <w:tcW w:w="1134" w:type="dxa"/>
          </w:tcPr>
          <w:p w14:paraId="6520D598" w14:textId="77777777" w:rsidR="00A73EDB" w:rsidRPr="00A73EDB" w:rsidRDefault="00A73EDB" w:rsidP="00B206A1">
            <w:pPr>
              <w:jc w:val="center"/>
              <w:rPr>
                <w:rFonts w:asciiTheme="majorHAnsi" w:hAnsiTheme="majorHAnsi"/>
                <w:sz w:val="20"/>
                <w:szCs w:val="20"/>
              </w:rPr>
            </w:pPr>
            <w:r w:rsidRPr="00A73EDB">
              <w:rPr>
                <w:rFonts w:asciiTheme="majorHAnsi" w:hAnsiTheme="majorHAnsi"/>
                <w:sz w:val="20"/>
                <w:szCs w:val="20"/>
              </w:rPr>
              <w:t xml:space="preserve">Clinic </w:t>
            </w:r>
          </w:p>
        </w:tc>
        <w:tc>
          <w:tcPr>
            <w:tcW w:w="1276" w:type="dxa"/>
          </w:tcPr>
          <w:p w14:paraId="37AF237A" w14:textId="77777777" w:rsidR="00A73EDB" w:rsidRPr="00A73EDB" w:rsidRDefault="00A73EDB" w:rsidP="00B206A1">
            <w:pPr>
              <w:jc w:val="center"/>
              <w:rPr>
                <w:rFonts w:asciiTheme="majorHAnsi" w:hAnsiTheme="majorHAnsi"/>
                <w:sz w:val="20"/>
                <w:szCs w:val="20"/>
              </w:rPr>
            </w:pPr>
            <w:r w:rsidRPr="00A73EDB">
              <w:rPr>
                <w:rFonts w:asciiTheme="majorHAnsi" w:hAnsiTheme="majorHAnsi"/>
                <w:sz w:val="20"/>
                <w:szCs w:val="20"/>
              </w:rPr>
              <w:t xml:space="preserve">Lab or clinic </w:t>
            </w:r>
          </w:p>
        </w:tc>
        <w:tc>
          <w:tcPr>
            <w:tcW w:w="1134" w:type="dxa"/>
          </w:tcPr>
          <w:p w14:paraId="54F0D171" w14:textId="77777777" w:rsidR="00A73EDB" w:rsidRPr="00A73EDB" w:rsidRDefault="00A73EDB" w:rsidP="00B206A1">
            <w:pPr>
              <w:jc w:val="center"/>
              <w:rPr>
                <w:rFonts w:asciiTheme="majorHAnsi" w:hAnsiTheme="majorHAnsi"/>
                <w:sz w:val="20"/>
                <w:szCs w:val="20"/>
              </w:rPr>
            </w:pPr>
            <w:r w:rsidRPr="00A73EDB">
              <w:rPr>
                <w:rFonts w:asciiTheme="majorHAnsi" w:hAnsiTheme="majorHAnsi"/>
                <w:sz w:val="20"/>
                <w:szCs w:val="20"/>
              </w:rPr>
              <w:t>Phone</w:t>
            </w:r>
          </w:p>
        </w:tc>
        <w:tc>
          <w:tcPr>
            <w:tcW w:w="992" w:type="dxa"/>
          </w:tcPr>
          <w:p w14:paraId="359FB8E3" w14:textId="77777777" w:rsidR="00A73EDB" w:rsidRPr="00A73EDB" w:rsidRDefault="00A73EDB" w:rsidP="00B206A1">
            <w:pPr>
              <w:jc w:val="center"/>
              <w:rPr>
                <w:rFonts w:asciiTheme="majorHAnsi" w:hAnsiTheme="majorHAnsi"/>
                <w:sz w:val="20"/>
                <w:szCs w:val="20"/>
              </w:rPr>
            </w:pPr>
          </w:p>
        </w:tc>
      </w:tr>
    </w:tbl>
    <w:p w14:paraId="159FA778" w14:textId="77777777" w:rsidR="00A73EDB" w:rsidRDefault="00A73EDB" w:rsidP="008115E7">
      <w:pPr>
        <w:spacing w:after="120"/>
        <w:jc w:val="both"/>
        <w:rPr>
          <w:b/>
        </w:rPr>
      </w:pPr>
    </w:p>
    <w:p w14:paraId="15A066CF" w14:textId="67C79E8A" w:rsidR="00E669BD" w:rsidRPr="00850658" w:rsidRDefault="008115E7" w:rsidP="008115E7">
      <w:pPr>
        <w:spacing w:after="240"/>
        <w:jc w:val="both"/>
      </w:pPr>
      <w:r w:rsidRPr="00E669BD">
        <w:rPr>
          <w:b/>
        </w:rPr>
        <w:t>C. Location and Duration:</w:t>
      </w:r>
      <w:r w:rsidRPr="003615E1">
        <w:rPr>
          <w:b/>
        </w:rPr>
        <w:t xml:space="preserve"> </w:t>
      </w:r>
      <w:r w:rsidRPr="003615E1">
        <w:t xml:space="preserve"> The consultation will take place at Dr Deb The Trav</w:t>
      </w:r>
      <w:r w:rsidR="00E669BD">
        <w:t>el Doctor clinic in Brisbane</w:t>
      </w:r>
      <w:r>
        <w:t xml:space="preserve">. </w:t>
      </w:r>
      <w:r w:rsidRPr="003615E1">
        <w:t xml:space="preserve">The </w:t>
      </w:r>
      <w:r w:rsidR="00084F99">
        <w:t xml:space="preserve">standard pre travel </w:t>
      </w:r>
      <w:r w:rsidRPr="003615E1">
        <w:t xml:space="preserve">consultation with the doctor and nurse </w:t>
      </w:r>
      <w:r w:rsidR="00084F99">
        <w:t>may take</w:t>
      </w:r>
      <w:r w:rsidRPr="003615E1">
        <w:t xml:space="preserve"> </w:t>
      </w:r>
      <w:r w:rsidR="00084F99">
        <w:t xml:space="preserve">up to </w:t>
      </w:r>
      <w:r w:rsidRPr="003615E1">
        <w:t xml:space="preserve">an hour, about the same time as a standard pre-travel consultation even if you do not want to participate in the study. </w:t>
      </w:r>
      <w:r w:rsidR="00E669BD">
        <w:t xml:space="preserve"> For the second and third doses of vaccine, </w:t>
      </w:r>
      <w:r w:rsidR="00084F99">
        <w:t xml:space="preserve">the visit will take about </w:t>
      </w:r>
      <w:r w:rsidR="00E15F8D">
        <w:t>10-</w:t>
      </w:r>
      <w:r w:rsidR="00084F99">
        <w:t>20 minutes.</w:t>
      </w:r>
    </w:p>
    <w:p w14:paraId="6AC203BA" w14:textId="40E58C57" w:rsidR="008115E7" w:rsidRPr="003615E1" w:rsidRDefault="008115E7" w:rsidP="008115E7">
      <w:pPr>
        <w:spacing w:after="240"/>
        <w:jc w:val="both"/>
      </w:pPr>
      <w:r w:rsidRPr="00E669BD">
        <w:rPr>
          <w:b/>
        </w:rPr>
        <w:t>D. Remuneration:</w:t>
      </w:r>
      <w:r w:rsidRPr="003615E1">
        <w:rPr>
          <w:b/>
        </w:rPr>
        <w:t xml:space="preserve"> </w:t>
      </w:r>
      <w:r w:rsidRPr="003615E1">
        <w:t xml:space="preserve"> Taking part in the study will cost nothing apart from your time. </w:t>
      </w:r>
      <w:r>
        <w:t xml:space="preserve">The cost of the blood tests and the rabies </w:t>
      </w:r>
      <w:r w:rsidR="00E669BD">
        <w:t>vaccine</w:t>
      </w:r>
      <w:r>
        <w:t xml:space="preserve"> will be covered by the study. </w:t>
      </w:r>
      <w:r w:rsidRPr="003615E1">
        <w:t xml:space="preserve"> You will not receive any special payments for being part of this research study.</w:t>
      </w:r>
      <w:r w:rsidR="000453ED">
        <w:t xml:space="preserve"> You will have 3 doses of rabies vaccine and two blood tests</w:t>
      </w:r>
      <w:r w:rsidR="00635EA8">
        <w:t>.</w:t>
      </w:r>
    </w:p>
    <w:p w14:paraId="3015E16B" w14:textId="37EA5D96" w:rsidR="008115E7" w:rsidRDefault="008115E7" w:rsidP="008115E7">
      <w:pPr>
        <w:spacing w:after="120"/>
        <w:contextualSpacing/>
        <w:jc w:val="both"/>
      </w:pPr>
      <w:r w:rsidRPr="000453ED">
        <w:rPr>
          <w:b/>
        </w:rPr>
        <w:t>E. Risks:</w:t>
      </w:r>
      <w:r w:rsidRPr="003615E1">
        <w:rPr>
          <w:b/>
        </w:rPr>
        <w:t xml:space="preserve"> </w:t>
      </w:r>
      <w:r w:rsidRPr="003615E1">
        <w:t xml:space="preserve">The most common side effects </w:t>
      </w:r>
      <w:r>
        <w:t xml:space="preserve">of blood collection are a sore arm and bruising at the site of the blood collection. The side effects of rabies boosters are </w:t>
      </w:r>
      <w:r w:rsidR="000453ED">
        <w:t xml:space="preserve">a red, </w:t>
      </w:r>
      <w:r>
        <w:t>sore and itchy injection site</w:t>
      </w:r>
      <w:r w:rsidR="000453ED">
        <w:t>.</w:t>
      </w:r>
      <w:r>
        <w:t xml:space="preserve"> </w:t>
      </w:r>
      <w:r w:rsidR="000453ED">
        <w:t>Very occasionally persons vaccinated may experience a rash or fatigue.</w:t>
      </w:r>
      <w:r w:rsidR="00182892">
        <w:t xml:space="preserve"> If this happens it would be treated in the usual way for all vaccine side effects. Clinic staff are on-call 24 hours for access to information about vaccine side effects. </w:t>
      </w:r>
      <w:r w:rsidR="00A73EDB">
        <w:t>You can ring on our normal clinic phone number 0732219066  Also o</w:t>
      </w:r>
      <w:r w:rsidR="00182892">
        <w:t>ur clinic uses the SMARTVAX active surveillance system for monitoring for vaccine side effects and participants will receive a text message 2-3 days after vaccination asking about potential side effects, - these replies are notified to clinic staff during business hours</w:t>
      </w:r>
    </w:p>
    <w:p w14:paraId="5275A075" w14:textId="77777777" w:rsidR="008115E7" w:rsidRPr="003615E1" w:rsidRDefault="008115E7" w:rsidP="008115E7">
      <w:pPr>
        <w:spacing w:after="120"/>
        <w:contextualSpacing/>
        <w:jc w:val="both"/>
      </w:pPr>
    </w:p>
    <w:p w14:paraId="70A273AD" w14:textId="058DB266" w:rsidR="008115E7" w:rsidRDefault="008115E7" w:rsidP="008115E7">
      <w:pPr>
        <w:spacing w:after="120"/>
        <w:contextualSpacing/>
        <w:jc w:val="both"/>
      </w:pPr>
      <w:r w:rsidRPr="000453ED">
        <w:rPr>
          <w:b/>
        </w:rPr>
        <w:t xml:space="preserve">F. Benefits: </w:t>
      </w:r>
      <w:r w:rsidR="000453ED">
        <w:t xml:space="preserve"> </w:t>
      </w:r>
      <w:r w:rsidRPr="003615E1">
        <w:t>We expect that the results from this study will confirm that</w:t>
      </w:r>
      <w:r w:rsidR="000453ED">
        <w:t xml:space="preserve"> a single dose of </w:t>
      </w:r>
      <w:r>
        <w:t xml:space="preserve">vaccine provides </w:t>
      </w:r>
      <w:r w:rsidR="000453ED">
        <w:t xml:space="preserve"> </w:t>
      </w:r>
      <w:r>
        <w:t xml:space="preserve"> priming of the immune system</w:t>
      </w:r>
      <w:r w:rsidRPr="003615E1">
        <w:t xml:space="preserve">, and the findings could provide support for more widespread use of </w:t>
      </w:r>
      <w:r w:rsidR="000453ED">
        <w:t xml:space="preserve">a single dose of rabies vaccine being given to persons </w:t>
      </w:r>
      <w:r w:rsidR="00A73EDB">
        <w:t xml:space="preserve">who must </w:t>
      </w:r>
      <w:r w:rsidR="000453ED">
        <w:t xml:space="preserve">travel overseas at short notice. </w:t>
      </w:r>
    </w:p>
    <w:p w14:paraId="233CAC2F" w14:textId="77777777" w:rsidR="008115E7" w:rsidRPr="003615E1" w:rsidRDefault="008115E7" w:rsidP="000453ED">
      <w:pPr>
        <w:pStyle w:val="Heading2"/>
      </w:pPr>
      <w:r w:rsidRPr="003615E1">
        <w:t>Exclusion criteria:</w:t>
      </w:r>
    </w:p>
    <w:p w14:paraId="69A6561F" w14:textId="77777777" w:rsidR="008115E7" w:rsidRPr="003615E1" w:rsidRDefault="008115E7" w:rsidP="008115E7">
      <w:pPr>
        <w:jc w:val="both"/>
        <w:rPr>
          <w:b/>
          <w:color w:val="0000FF"/>
          <w:u w:val="single"/>
        </w:rPr>
      </w:pPr>
      <w:r w:rsidRPr="000453ED">
        <w:rPr>
          <w:b/>
        </w:rPr>
        <w:t>Participant Limitation:</w:t>
      </w:r>
      <w:r w:rsidRPr="003615E1">
        <w:rPr>
          <w:b/>
        </w:rPr>
        <w:t xml:space="preserve"> </w:t>
      </w:r>
      <w:r w:rsidRPr="003615E1">
        <w:t xml:space="preserve">You will </w:t>
      </w:r>
      <w:r w:rsidRPr="00A73EDB">
        <w:rPr>
          <w:b/>
          <w:bCs/>
          <w:u w:val="single"/>
        </w:rPr>
        <w:t>not</w:t>
      </w:r>
      <w:r w:rsidRPr="003615E1">
        <w:t xml:space="preserve"> be able to participate in this study if:</w:t>
      </w:r>
    </w:p>
    <w:p w14:paraId="407028D7" w14:textId="7622C360" w:rsidR="00487609" w:rsidRDefault="00850658" w:rsidP="008115E7">
      <w:pPr>
        <w:pStyle w:val="ListParagraph"/>
        <w:numPr>
          <w:ilvl w:val="0"/>
          <w:numId w:val="15"/>
        </w:numPr>
        <w:spacing w:after="0" w:line="240" w:lineRule="auto"/>
        <w:ind w:left="709"/>
        <w:jc w:val="both"/>
      </w:pPr>
      <w:r>
        <w:t xml:space="preserve">You are under 18 </w:t>
      </w:r>
      <w:r w:rsidR="00487609">
        <w:t xml:space="preserve">years of age </w:t>
      </w:r>
    </w:p>
    <w:p w14:paraId="2D42D54E" w14:textId="1682FC22" w:rsidR="008115E7" w:rsidRPr="003615E1" w:rsidRDefault="008115E7" w:rsidP="008115E7">
      <w:pPr>
        <w:pStyle w:val="ListParagraph"/>
        <w:numPr>
          <w:ilvl w:val="0"/>
          <w:numId w:val="15"/>
        </w:numPr>
        <w:spacing w:after="0" w:line="240" w:lineRule="auto"/>
        <w:ind w:left="709"/>
        <w:jc w:val="both"/>
      </w:pPr>
      <w:r w:rsidRPr="003615E1">
        <w:t xml:space="preserve">You have previously </w:t>
      </w:r>
      <w:r w:rsidR="00DC47C6">
        <w:t xml:space="preserve">had </w:t>
      </w:r>
      <w:r w:rsidR="007C7761">
        <w:t>any</w:t>
      </w:r>
      <w:r w:rsidR="00DC47C6">
        <w:t xml:space="preserve"> rabies vaccine.</w:t>
      </w:r>
    </w:p>
    <w:p w14:paraId="2BBC3EF2" w14:textId="77777777" w:rsidR="00084F99" w:rsidRPr="00084F99" w:rsidRDefault="00084F99" w:rsidP="008115E7">
      <w:pPr>
        <w:pStyle w:val="ListParagraph"/>
        <w:numPr>
          <w:ilvl w:val="0"/>
          <w:numId w:val="15"/>
        </w:numPr>
        <w:spacing w:after="0" w:line="240" w:lineRule="auto"/>
        <w:ind w:left="709"/>
        <w:jc w:val="both"/>
        <w:rPr>
          <w:color w:val="000000" w:themeColor="text1"/>
        </w:rPr>
      </w:pPr>
      <w:r w:rsidRPr="00084F99">
        <w:rPr>
          <w:color w:val="000000" w:themeColor="text1"/>
        </w:rPr>
        <w:t>You are pregnant</w:t>
      </w:r>
    </w:p>
    <w:p w14:paraId="77FDD658" w14:textId="404BFABB" w:rsidR="008115E7" w:rsidRDefault="00084F99" w:rsidP="008115E7">
      <w:pPr>
        <w:pStyle w:val="ListParagraph"/>
        <w:numPr>
          <w:ilvl w:val="0"/>
          <w:numId w:val="15"/>
        </w:numPr>
        <w:spacing w:after="0" w:line="240" w:lineRule="auto"/>
        <w:ind w:left="709"/>
        <w:jc w:val="both"/>
        <w:rPr>
          <w:color w:val="000000" w:themeColor="text1"/>
        </w:rPr>
      </w:pPr>
      <w:r w:rsidRPr="00084F99">
        <w:rPr>
          <w:color w:val="000000" w:themeColor="text1"/>
        </w:rPr>
        <w:t>You are on any medication that depresses your immune system</w:t>
      </w:r>
      <w:r w:rsidR="008115E7" w:rsidRPr="00084F99">
        <w:rPr>
          <w:color w:val="000000" w:themeColor="text1"/>
        </w:rPr>
        <w:t xml:space="preserve"> </w:t>
      </w:r>
    </w:p>
    <w:p w14:paraId="342E7FBD" w14:textId="107524CE" w:rsidR="0084310A" w:rsidRPr="0084310A" w:rsidRDefault="0084310A" w:rsidP="0084310A">
      <w:pPr>
        <w:pStyle w:val="ListParagraph"/>
        <w:numPr>
          <w:ilvl w:val="0"/>
          <w:numId w:val="4"/>
        </w:numPr>
        <w:spacing w:after="120" w:line="240" w:lineRule="auto"/>
        <w:rPr>
          <w:rFonts w:cs="Times New Roman"/>
        </w:rPr>
      </w:pPr>
      <w:r w:rsidRPr="0084310A">
        <w:rPr>
          <w:rFonts w:cs="Times New Roman"/>
        </w:rPr>
        <w:t xml:space="preserve">Travelling to areas of high risk for rabies </w:t>
      </w:r>
      <w:r w:rsidR="001F780B">
        <w:rPr>
          <w:rFonts w:cs="Times New Roman"/>
        </w:rPr>
        <w:t xml:space="preserve"> within 90 days </w:t>
      </w:r>
      <w:r w:rsidRPr="0084310A">
        <w:rPr>
          <w:rFonts w:cs="Times New Roman"/>
        </w:rPr>
        <w:t xml:space="preserve">where an unusual </w:t>
      </w:r>
      <w:proofErr w:type="spellStart"/>
      <w:r w:rsidRPr="0084310A">
        <w:rPr>
          <w:rFonts w:cs="Times New Roman"/>
        </w:rPr>
        <w:t>PrEP</w:t>
      </w:r>
      <w:proofErr w:type="spellEnd"/>
      <w:r w:rsidRPr="0084310A">
        <w:rPr>
          <w:rFonts w:cs="Times New Roman"/>
        </w:rPr>
        <w:t xml:space="preserve"> schedule may cause difficulty in the event of an animal exposure that requires PEP.</w:t>
      </w:r>
    </w:p>
    <w:p w14:paraId="19EE6E9B" w14:textId="77777777" w:rsidR="008115E7" w:rsidRPr="003615E1" w:rsidRDefault="008115E7" w:rsidP="000453ED">
      <w:pPr>
        <w:pStyle w:val="Heading2"/>
        <w:rPr>
          <w:color w:val="335C85"/>
        </w:rPr>
      </w:pPr>
      <w:r w:rsidRPr="003615E1">
        <w:t>Confidentiality:</w:t>
      </w:r>
      <w:r w:rsidRPr="003615E1">
        <w:rPr>
          <w:color w:val="335C85"/>
        </w:rPr>
        <w:t xml:space="preserve"> </w:t>
      </w:r>
    </w:p>
    <w:p w14:paraId="6B15E31C" w14:textId="4B2FA62D" w:rsidR="008115E7" w:rsidRPr="003615E1" w:rsidRDefault="008115E7" w:rsidP="008115E7">
      <w:pPr>
        <w:spacing w:after="240"/>
        <w:jc w:val="both"/>
      </w:pPr>
      <w:r w:rsidRPr="003615E1">
        <w:rPr>
          <w:lang w:val="en-US"/>
        </w:rPr>
        <w:t>The information provided by you will only be accessible by your travel medicine doctors and nurses, and the researchers. We will need to record your name and contact details so that we can contact you for the follow-</w:t>
      </w:r>
      <w:r w:rsidRPr="003615E1">
        <w:rPr>
          <w:lang w:val="en-US"/>
        </w:rPr>
        <w:lastRenderedPageBreak/>
        <w:t xml:space="preserve">up questionnaires. </w:t>
      </w:r>
      <w:r w:rsidR="007C7761">
        <w:rPr>
          <w:lang w:val="en-US"/>
        </w:rPr>
        <w:t xml:space="preserve">We need to have your date of birth on the blood test form as it will form part of your usual medical record as it will be important for your future medical care for your treating doctors to have access to this to know how best to treat you in the event of a rabies risk exposure on an overseas trip or in Australia if handling flying fox, however, the research will only include an identifier. </w:t>
      </w:r>
      <w:r w:rsidRPr="003615E1">
        <w:t xml:space="preserve">We will keep your participation in this research study confidential to the extent permitted by the law.  However, it is possible that other people may become aware of your participation in this study. For example, The University’s Human Research Ethics Committee might inspect records pertaining to this research, but the university will ensure that your information personal remain confidential.  For publication, the results of all participants will be pooled, and no individual will be identified. </w:t>
      </w:r>
    </w:p>
    <w:p w14:paraId="41B688DB" w14:textId="77777777" w:rsidR="008115E7" w:rsidRPr="003615E1" w:rsidRDefault="008115E7" w:rsidP="0004399C">
      <w:pPr>
        <w:pStyle w:val="Heading2"/>
      </w:pPr>
      <w:r w:rsidRPr="003615E1">
        <w:t xml:space="preserve">Privacy Notice:  </w:t>
      </w:r>
    </w:p>
    <w:p w14:paraId="12AD11C1" w14:textId="77777777" w:rsidR="008115E7" w:rsidRPr="003615E1" w:rsidRDefault="008115E7" w:rsidP="008115E7">
      <w:pPr>
        <w:spacing w:after="240"/>
        <w:jc w:val="both"/>
        <w:rPr>
          <w:b/>
          <w:bCs/>
          <w:color w:val="0000FF"/>
          <w:u w:val="single"/>
        </w:rPr>
      </w:pPr>
      <w:r w:rsidRPr="003615E1">
        <w:rPr>
          <w:lang w:val="en-US"/>
        </w:rPr>
        <w:t xml:space="preserve">In collecting your personal information within this research, the ANU must comply with the Privacy Act 1988. The ANU Privacy Policy is available at </w:t>
      </w:r>
      <w:hyperlink r:id="rId7" w:tgtFrame="_blank" w:history="1">
        <w:r w:rsidRPr="003615E1">
          <w:rPr>
            <w:lang w:val="en-US"/>
          </w:rPr>
          <w:t>https://policies.anu.edu.au/ppl/document/ANUP_010007</w:t>
        </w:r>
      </w:hyperlink>
      <w:r w:rsidRPr="003615E1">
        <w:rPr>
          <w:lang w:val="en-US"/>
        </w:rPr>
        <w:t xml:space="preserve"> and it contains information about how a person can:</w:t>
      </w:r>
    </w:p>
    <w:p w14:paraId="148EC493" w14:textId="77777777" w:rsidR="008115E7" w:rsidRPr="003615E1" w:rsidRDefault="008115E7" w:rsidP="008115E7">
      <w:pPr>
        <w:pStyle w:val="ListParagraph"/>
        <w:numPr>
          <w:ilvl w:val="0"/>
          <w:numId w:val="17"/>
        </w:numPr>
        <w:spacing w:after="0" w:line="240" w:lineRule="auto"/>
        <w:ind w:left="709"/>
        <w:jc w:val="both"/>
        <w:rPr>
          <w:bCs/>
          <w:color w:val="000000" w:themeColor="text1"/>
        </w:rPr>
      </w:pPr>
      <w:r w:rsidRPr="003615E1">
        <w:rPr>
          <w:bCs/>
          <w:color w:val="000000" w:themeColor="text1"/>
        </w:rPr>
        <w:t>Access or seek correction to their personal information;</w:t>
      </w:r>
    </w:p>
    <w:p w14:paraId="6AD93AAD" w14:textId="31CA345C" w:rsidR="00EF4E57" w:rsidRPr="00A73EDB" w:rsidRDefault="008115E7" w:rsidP="00A73EDB">
      <w:pPr>
        <w:pStyle w:val="ListParagraph"/>
        <w:numPr>
          <w:ilvl w:val="0"/>
          <w:numId w:val="17"/>
        </w:numPr>
        <w:spacing w:after="0" w:line="240" w:lineRule="auto"/>
        <w:ind w:left="709"/>
        <w:jc w:val="both"/>
        <w:rPr>
          <w:lang w:val="en-US" w:eastAsia="en-US"/>
        </w:rPr>
      </w:pPr>
      <w:r w:rsidRPr="003615E1">
        <w:rPr>
          <w:bCs/>
          <w:color w:val="000000" w:themeColor="text1"/>
        </w:rPr>
        <w:t>Complain about a breach of an Australian Privacy Principle by ANU, and how ANU will handle the complaint.</w:t>
      </w:r>
    </w:p>
    <w:p w14:paraId="35477C19" w14:textId="77777777" w:rsidR="00A73EDB" w:rsidRPr="00A73EDB" w:rsidRDefault="00A73EDB" w:rsidP="00A73EDB">
      <w:pPr>
        <w:spacing w:after="0" w:line="240" w:lineRule="auto"/>
        <w:ind w:left="349"/>
        <w:jc w:val="both"/>
        <w:rPr>
          <w:lang w:val="en-US" w:eastAsia="en-US"/>
        </w:rPr>
      </w:pPr>
    </w:p>
    <w:p w14:paraId="205CACDB" w14:textId="77777777" w:rsidR="008115E7" w:rsidRPr="003615E1" w:rsidRDefault="008115E7" w:rsidP="008115E7">
      <w:pPr>
        <w:spacing w:after="240"/>
        <w:jc w:val="both"/>
      </w:pPr>
      <w:r w:rsidRPr="0004399C">
        <w:rPr>
          <w:b/>
          <w:bCs/>
        </w:rPr>
        <w:t>Data Storage:</w:t>
      </w:r>
      <w:r w:rsidRPr="003615E1">
        <w:rPr>
          <w:b/>
          <w:bCs/>
        </w:rPr>
        <w:t xml:space="preserve"> </w:t>
      </w:r>
      <w:r w:rsidRPr="003615E1">
        <w:rPr>
          <w:lang w:val="en-US"/>
        </w:rPr>
        <w:t xml:space="preserve">Medical and research records will be kept at the travel medicine clinics. Electronic data will be stored in password-protected computers owned by the clinics, the Australian National University, and the researchers. </w:t>
      </w:r>
      <w:r w:rsidRPr="003615E1">
        <w:t>Data will be stored for a period of at least five years from the date of any publication arising from the research. After 5 years, the research data will be completely de-identified and archived at computers at the Australian National University, but your medical records will continue to be kept at the travel medicine clinics.</w:t>
      </w:r>
    </w:p>
    <w:p w14:paraId="1E60127F" w14:textId="77777777" w:rsidR="008115E7" w:rsidRDefault="008115E7" w:rsidP="0004399C">
      <w:pPr>
        <w:pStyle w:val="Heading2"/>
      </w:pPr>
      <w:r w:rsidRPr="003615E1">
        <w:t>Queries and Concerns:</w:t>
      </w:r>
    </w:p>
    <w:p w14:paraId="54792124" w14:textId="77777777" w:rsidR="00A73EDB" w:rsidRPr="00A73EDB" w:rsidRDefault="00A73EDB" w:rsidP="008115E7">
      <w:pPr>
        <w:jc w:val="both"/>
        <w:outlineLvl w:val="3"/>
        <w:rPr>
          <w:sz w:val="10"/>
          <w:szCs w:val="10"/>
        </w:rPr>
      </w:pPr>
    </w:p>
    <w:p w14:paraId="66B249CE" w14:textId="04769685" w:rsidR="008115E7" w:rsidRPr="003615E1" w:rsidRDefault="008115E7" w:rsidP="008115E7">
      <w:pPr>
        <w:jc w:val="both"/>
        <w:outlineLvl w:val="3"/>
      </w:pPr>
      <w:r w:rsidRPr="0004399C">
        <w:rPr>
          <w:b/>
        </w:rPr>
        <w:t xml:space="preserve">A. Contact Details for More Information: </w:t>
      </w:r>
      <w:r w:rsidRPr="0004399C">
        <w:t>You</w:t>
      </w:r>
      <w:r w:rsidRPr="003615E1">
        <w:t xml:space="preserve"> have the right to ask any questions about this research.  If you have questions, complaints or concerns related to this research, please contact one of the following people:</w:t>
      </w:r>
    </w:p>
    <w:p w14:paraId="60C66277" w14:textId="55DF15B7" w:rsidR="008115E7" w:rsidRPr="003615E1" w:rsidRDefault="008115E7" w:rsidP="0004399C">
      <w:r w:rsidRPr="003615E1">
        <w:t>Dr. Colleen Lau  (Primary Investigator)</w:t>
      </w:r>
      <w:r w:rsidRPr="003615E1">
        <w:tab/>
        <w:t xml:space="preserve">Email: </w:t>
      </w:r>
      <w:hyperlink r:id="rId8" w:history="1">
        <w:r w:rsidRPr="003615E1">
          <w:rPr>
            <w:rStyle w:val="Hyperlink"/>
          </w:rPr>
          <w:t>colleen.lau@anu.edu.au</w:t>
        </w:r>
      </w:hyperlink>
      <w:r w:rsidRPr="003615E1">
        <w:t xml:space="preserve">  </w:t>
      </w:r>
      <w:r w:rsidRPr="003615E1">
        <w:tab/>
        <w:t>Phone: (07) 3221 9066</w:t>
      </w:r>
    </w:p>
    <w:p w14:paraId="35BC4805" w14:textId="6A50F541" w:rsidR="008115E7" w:rsidRPr="003615E1" w:rsidRDefault="008115E7" w:rsidP="0004399C">
      <w:r w:rsidRPr="003615E1">
        <w:t xml:space="preserve">Dr. Deborah Mills (Brisbane) </w:t>
      </w:r>
      <w:r w:rsidRPr="003615E1">
        <w:tab/>
      </w:r>
      <w:r w:rsidRPr="003615E1">
        <w:tab/>
        <w:t xml:space="preserve">Email: </w:t>
      </w:r>
      <w:hyperlink r:id="rId9" w:history="1">
        <w:r w:rsidR="00084F99" w:rsidRPr="00263B5E">
          <w:rPr>
            <w:rStyle w:val="Hyperlink"/>
          </w:rPr>
          <w:t>email@drdeb.com.au</w:t>
        </w:r>
      </w:hyperlink>
      <w:r w:rsidR="00084F99">
        <w:tab/>
      </w:r>
      <w:r w:rsidRPr="003615E1">
        <w:t>Phone: (07) 3221 9066</w:t>
      </w:r>
    </w:p>
    <w:p w14:paraId="1323CB06" w14:textId="77777777" w:rsidR="008115E7" w:rsidRPr="00A73EDB" w:rsidRDefault="008115E7" w:rsidP="008115E7">
      <w:pPr>
        <w:jc w:val="both"/>
        <w:outlineLvl w:val="3"/>
        <w:rPr>
          <w:b/>
          <w:bCs/>
          <w:sz w:val="10"/>
          <w:szCs w:val="10"/>
          <w:u w:val="single"/>
        </w:rPr>
      </w:pPr>
    </w:p>
    <w:p w14:paraId="5F306B89" w14:textId="77777777" w:rsidR="008115E7" w:rsidRDefault="008115E7" w:rsidP="0004399C">
      <w:pPr>
        <w:pStyle w:val="Heading2"/>
      </w:pPr>
      <w:r w:rsidRPr="003615E1">
        <w:t xml:space="preserve">Ethics Committee Clearance: </w:t>
      </w:r>
    </w:p>
    <w:p w14:paraId="5F9A561D" w14:textId="4F5A2D86" w:rsidR="008115E7" w:rsidRPr="003615E1" w:rsidRDefault="008115E7" w:rsidP="008115E7">
      <w:pPr>
        <w:jc w:val="both"/>
        <w:outlineLvl w:val="3"/>
        <w:rPr>
          <w:b/>
          <w:bCs/>
          <w:u w:val="single"/>
        </w:rPr>
      </w:pPr>
      <w:r w:rsidRPr="003615E1">
        <w:t xml:space="preserve">The ethical aspects of this research have been approved by the ANU Human Research Ethics Committee (Protocol </w:t>
      </w:r>
      <w:r w:rsidR="001F780B" w:rsidRPr="001F780B">
        <w:t>2019/451</w:t>
      </w:r>
      <w:r w:rsidRPr="001F780B">
        <w:t xml:space="preserve">). </w:t>
      </w:r>
      <w:r w:rsidRPr="003615E1">
        <w:t>If you have any concerns or complaints about how this research has been conducted, please contact:</w:t>
      </w:r>
    </w:p>
    <w:p w14:paraId="28F929FB" w14:textId="11101638" w:rsidR="008115E7" w:rsidRPr="00A73EDB" w:rsidRDefault="008115E7" w:rsidP="00A73EDB">
      <w:pPr>
        <w:ind w:left="709"/>
      </w:pPr>
      <w:r w:rsidRPr="003615E1">
        <w:t>Ethics Manager</w:t>
      </w:r>
      <w:r w:rsidR="00A73EDB">
        <w:t xml:space="preserve"> </w:t>
      </w:r>
      <w:r w:rsidRPr="003615E1">
        <w:t>The ANU Human Research Ethics Committee</w:t>
      </w:r>
      <w:r w:rsidRPr="003615E1">
        <w:br/>
        <w:t>The Australian National University</w:t>
      </w:r>
      <w:r w:rsidRPr="003615E1">
        <w:br/>
        <w:t>Telephone: +61 2 6125 3427</w:t>
      </w:r>
      <w:r w:rsidRPr="003615E1">
        <w:br/>
        <w:t xml:space="preserve">Email: </w:t>
      </w:r>
      <w:hyperlink r:id="rId10" w:history="1">
        <w:r w:rsidRPr="003615E1">
          <w:rPr>
            <w:rStyle w:val="Hyperlink"/>
          </w:rPr>
          <w:t>Human.Ethics.Officer@anu.edu.au</w:t>
        </w:r>
      </w:hyperlink>
    </w:p>
    <w:sectPr w:rsidR="008115E7" w:rsidRPr="00A73EDB" w:rsidSect="00487609">
      <w:headerReference w:type="default" r:id="rId11"/>
      <w:footerReference w:type="even" r:id="rId12"/>
      <w:footerReference w:type="default" r:id="rId13"/>
      <w:pgSz w:w="11906" w:h="16838"/>
      <w:pgMar w:top="1134" w:right="1134" w:bottom="1134" w:left="1134" w:header="720" w:footer="1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71143" w14:textId="77777777" w:rsidR="00D35C98" w:rsidRDefault="00D35C98" w:rsidP="00216068">
      <w:pPr>
        <w:spacing w:after="0" w:line="240" w:lineRule="auto"/>
      </w:pPr>
      <w:r>
        <w:separator/>
      </w:r>
    </w:p>
  </w:endnote>
  <w:endnote w:type="continuationSeparator" w:id="0">
    <w:p w14:paraId="7E298C40" w14:textId="77777777" w:rsidR="00D35C98" w:rsidRDefault="00D35C98" w:rsidP="0021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9484" w14:textId="77777777" w:rsidR="00B22526" w:rsidRDefault="00B22526" w:rsidP="00821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8A383D" w14:textId="77777777" w:rsidR="00B22526" w:rsidRDefault="00B22526" w:rsidP="00B055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EDABC" w14:textId="77777777" w:rsidR="00B22526" w:rsidRDefault="00B22526" w:rsidP="00DD09AA">
    <w:pPr>
      <w:pStyle w:val="Header"/>
      <w:jc w:val="right"/>
    </w:pPr>
  </w:p>
  <w:p w14:paraId="467A5548" w14:textId="603C3DE6" w:rsidR="00B22526" w:rsidRDefault="00502FBA" w:rsidP="00B055C6">
    <w:pPr>
      <w:pStyle w:val="Footer"/>
      <w:ind w:right="360"/>
      <w:rPr>
        <w:rFonts w:ascii="Times New Roman" w:hAnsi="Times New Roman"/>
      </w:rPr>
    </w:pPr>
    <w:r>
      <w:rPr>
        <w:rFonts w:ascii="Times New Roman" w:hAnsi="Times New Roman"/>
      </w:rPr>
      <w:t xml:space="preserve"> BORS </w:t>
    </w:r>
    <w:r w:rsidR="008115E7">
      <w:rPr>
        <w:rFonts w:ascii="Times New Roman" w:hAnsi="Times New Roman"/>
      </w:rPr>
      <w:t xml:space="preserve"> Participant info    </w:t>
    </w:r>
    <w:r w:rsidR="00F379D2">
      <w:rPr>
        <w:rFonts w:ascii="Times New Roman" w:hAnsi="Times New Roman"/>
      </w:rPr>
      <w:t xml:space="preserve"> </w:t>
    </w:r>
    <w:r w:rsidR="00F379D2" w:rsidRPr="00F379D2">
      <w:rPr>
        <w:rFonts w:ascii="Times New Roman" w:hAnsi="Times New Roman"/>
      </w:rPr>
      <w:fldChar w:fldCharType="begin"/>
    </w:r>
    <w:r w:rsidR="00F379D2" w:rsidRPr="00F379D2">
      <w:rPr>
        <w:rFonts w:ascii="Times New Roman" w:hAnsi="Times New Roman"/>
      </w:rPr>
      <w:instrText xml:space="preserve"> AUTHOR </w:instrText>
    </w:r>
    <w:r w:rsidR="00F379D2" w:rsidRPr="00F379D2">
      <w:rPr>
        <w:rFonts w:ascii="Times New Roman" w:hAnsi="Times New Roman"/>
      </w:rPr>
      <w:fldChar w:fldCharType="separate"/>
    </w:r>
    <w:r w:rsidR="00487609">
      <w:rPr>
        <w:rFonts w:ascii="Times New Roman" w:hAnsi="Times New Roman"/>
        <w:noProof/>
      </w:rPr>
      <w:t>Deb Mills</w:t>
    </w:r>
    <w:r w:rsidR="00F379D2" w:rsidRPr="00F379D2">
      <w:rPr>
        <w:rFonts w:ascii="Times New Roman" w:hAnsi="Times New Roman"/>
      </w:rPr>
      <w:fldChar w:fldCharType="end"/>
    </w:r>
    <w:r w:rsidR="00F379D2" w:rsidRPr="00F379D2">
      <w:rPr>
        <w:rFonts w:ascii="Times New Roman" w:hAnsi="Times New Roman"/>
      </w:rPr>
      <w:tab/>
      <w:t xml:space="preserve">Page </w:t>
    </w:r>
    <w:r w:rsidR="00F379D2" w:rsidRPr="00F379D2">
      <w:rPr>
        <w:rFonts w:ascii="Times New Roman" w:hAnsi="Times New Roman"/>
      </w:rPr>
      <w:fldChar w:fldCharType="begin"/>
    </w:r>
    <w:r w:rsidR="00F379D2" w:rsidRPr="00F379D2">
      <w:rPr>
        <w:rFonts w:ascii="Times New Roman" w:hAnsi="Times New Roman"/>
      </w:rPr>
      <w:instrText xml:space="preserve"> PAGE </w:instrText>
    </w:r>
    <w:r w:rsidR="00F379D2" w:rsidRPr="00F379D2">
      <w:rPr>
        <w:rFonts w:ascii="Times New Roman" w:hAnsi="Times New Roman"/>
      </w:rPr>
      <w:fldChar w:fldCharType="separate"/>
    </w:r>
    <w:r w:rsidR="00CF038F">
      <w:rPr>
        <w:rFonts w:ascii="Times New Roman" w:hAnsi="Times New Roman"/>
        <w:noProof/>
      </w:rPr>
      <w:t>4</w:t>
    </w:r>
    <w:r w:rsidR="00F379D2" w:rsidRPr="00F379D2">
      <w:rPr>
        <w:rFonts w:ascii="Times New Roman" w:hAnsi="Times New Roman"/>
      </w:rPr>
      <w:fldChar w:fldCharType="end"/>
    </w:r>
    <w:r w:rsidR="00F379D2" w:rsidRPr="00F379D2">
      <w:rPr>
        <w:rFonts w:ascii="Times New Roman" w:hAnsi="Times New Roman"/>
      </w:rPr>
      <w:tab/>
    </w:r>
    <w:r w:rsidR="00F379D2" w:rsidRPr="00F379D2">
      <w:rPr>
        <w:rFonts w:ascii="Times New Roman" w:hAnsi="Times New Roman"/>
      </w:rPr>
      <w:fldChar w:fldCharType="begin"/>
    </w:r>
    <w:r w:rsidR="00F379D2" w:rsidRPr="00F379D2">
      <w:rPr>
        <w:rFonts w:ascii="Times New Roman" w:hAnsi="Times New Roman"/>
      </w:rPr>
      <w:instrText xml:space="preserve"> DATE </w:instrText>
    </w:r>
    <w:r w:rsidR="00F379D2" w:rsidRPr="00F379D2">
      <w:rPr>
        <w:rFonts w:ascii="Times New Roman" w:hAnsi="Times New Roman"/>
      </w:rPr>
      <w:fldChar w:fldCharType="separate"/>
    </w:r>
    <w:r w:rsidR="00043BD0">
      <w:rPr>
        <w:rFonts w:ascii="Times New Roman" w:hAnsi="Times New Roman"/>
        <w:noProof/>
      </w:rPr>
      <w:t>14/1/20</w:t>
    </w:r>
    <w:r w:rsidR="00F379D2" w:rsidRPr="00F379D2">
      <w:rPr>
        <w:rFonts w:ascii="Times New Roman" w:hAnsi="Times New Roman"/>
      </w:rPr>
      <w:fldChar w:fldCharType="end"/>
    </w:r>
  </w:p>
  <w:p w14:paraId="0C5B3381" w14:textId="77777777" w:rsidR="00487609" w:rsidRDefault="00487609" w:rsidP="00B055C6">
    <w:pPr>
      <w:pStyle w:val="Footer"/>
      <w:ind w:right="360"/>
    </w:pPr>
  </w:p>
  <w:p w14:paraId="5E269614" w14:textId="77777777" w:rsidR="00F379D2" w:rsidRDefault="00F379D2" w:rsidP="00B055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2444A" w14:textId="77777777" w:rsidR="00D35C98" w:rsidRDefault="00D35C98" w:rsidP="00216068">
      <w:pPr>
        <w:spacing w:after="0" w:line="240" w:lineRule="auto"/>
      </w:pPr>
      <w:r>
        <w:separator/>
      </w:r>
    </w:p>
  </w:footnote>
  <w:footnote w:type="continuationSeparator" w:id="0">
    <w:p w14:paraId="78306109" w14:textId="77777777" w:rsidR="00D35C98" w:rsidRDefault="00D35C98" w:rsidP="00216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57A4B" w14:textId="681E06CC" w:rsidR="00B22526" w:rsidRDefault="00B22526">
    <w:pPr>
      <w:pStyle w:val="Header"/>
    </w:pPr>
    <w:r w:rsidRPr="00F22BE4">
      <w:rPr>
        <w:noProof/>
        <w:lang w:eastAsia="en-AU"/>
      </w:rPr>
      <w:drawing>
        <wp:anchor distT="0" distB="0" distL="114300" distR="114300" simplePos="0" relativeHeight="251658240" behindDoc="1" locked="0" layoutInCell="1" allowOverlap="1" wp14:anchorId="46F97AD0" wp14:editId="10E1BC10">
          <wp:simplePos x="0" y="0"/>
          <wp:positionH relativeFrom="column">
            <wp:posOffset>81481</wp:posOffset>
          </wp:positionH>
          <wp:positionV relativeFrom="paragraph">
            <wp:posOffset>39671</wp:posOffset>
          </wp:positionV>
          <wp:extent cx="1323473" cy="723472"/>
          <wp:effectExtent l="0" t="0" r="0" b="635"/>
          <wp:wrapTight wrapText="bothSides">
            <wp:wrapPolygon edited="0">
              <wp:start x="0" y="0"/>
              <wp:lineTo x="0" y="21240"/>
              <wp:lineTo x="21351" y="21240"/>
              <wp:lineTo x="21351" y="0"/>
              <wp:lineTo x="0" y="0"/>
            </wp:wrapPolygon>
          </wp:wrapTight>
          <wp:docPr id="2" name="Picture 1" descr="G:\tma clin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ma clinic logo.png"/>
                  <pic:cNvPicPr>
                    <a:picLocks noChangeAspect="1" noChangeArrowheads="1"/>
                  </pic:cNvPicPr>
                </pic:nvPicPr>
                <pic:blipFill>
                  <a:blip r:embed="rId1" cstate="print"/>
                  <a:srcRect/>
                  <a:stretch>
                    <a:fillRect/>
                  </a:stretch>
                </pic:blipFill>
                <pic:spPr bwMode="auto">
                  <a:xfrm>
                    <a:off x="0" y="0"/>
                    <a:ext cx="1323473" cy="7234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r>
      <w:tab/>
    </w:r>
    <w:r>
      <w:rPr>
        <w:noProof/>
        <w:lang w:eastAsia="en-AU"/>
      </w:rPr>
      <w:drawing>
        <wp:inline distT="0" distB="0" distL="0" distR="0" wp14:anchorId="7015EFBF" wp14:editId="5F8138B2">
          <wp:extent cx="1307432" cy="718809"/>
          <wp:effectExtent l="0" t="0" r="1270" b="5715"/>
          <wp:docPr id="1" name="Picture 1" descr="Macintosh HD:Users:colleen.lau:Dropbox:Logos:ANU:ANU_LOGO_cmyk_56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lleen.lau:Dropbox:Logos:ANU:ANU_LOGO_cmyk_56m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7432" cy="718809"/>
                  </a:xfrm>
                  <a:prstGeom prst="rect">
                    <a:avLst/>
                  </a:prstGeom>
                  <a:noFill/>
                  <a:ln>
                    <a:noFill/>
                  </a:ln>
                </pic:spPr>
              </pic:pic>
            </a:graphicData>
          </a:graphic>
        </wp:inline>
      </w:drawing>
    </w:r>
  </w:p>
  <w:p w14:paraId="62F79D2B" w14:textId="77777777" w:rsidR="00814F3B" w:rsidRDefault="00814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98EE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A0B73"/>
    <w:multiLevelType w:val="hybridMultilevel"/>
    <w:tmpl w:val="E6888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C73590"/>
    <w:multiLevelType w:val="hybridMultilevel"/>
    <w:tmpl w:val="0136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F548F"/>
    <w:multiLevelType w:val="hybridMultilevel"/>
    <w:tmpl w:val="512A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40DE1"/>
    <w:multiLevelType w:val="hybridMultilevel"/>
    <w:tmpl w:val="704A2C14"/>
    <w:lvl w:ilvl="0" w:tplc="2BF49214">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66DAA"/>
    <w:multiLevelType w:val="hybridMultilevel"/>
    <w:tmpl w:val="BAB07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5D029C"/>
    <w:multiLevelType w:val="hybridMultilevel"/>
    <w:tmpl w:val="13AAC426"/>
    <w:lvl w:ilvl="0" w:tplc="2502165C">
      <w:start w:val="182"/>
      <w:numFmt w:val="bullet"/>
      <w:lvlText w:val=""/>
      <w:lvlJc w:val="left"/>
      <w:pPr>
        <w:ind w:left="1080" w:hanging="360"/>
      </w:pPr>
      <w:rPr>
        <w:rFonts w:ascii="Wingdings" w:eastAsiaTheme="minorEastAsia" w:hAnsi="Wingding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BE226C3"/>
    <w:multiLevelType w:val="hybridMultilevel"/>
    <w:tmpl w:val="80641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718AE"/>
    <w:multiLevelType w:val="hybridMultilevel"/>
    <w:tmpl w:val="F6D29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7D07BB"/>
    <w:multiLevelType w:val="hybridMultilevel"/>
    <w:tmpl w:val="8856F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DC660F"/>
    <w:multiLevelType w:val="hybridMultilevel"/>
    <w:tmpl w:val="1834D5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750A24"/>
    <w:multiLevelType w:val="hybridMultilevel"/>
    <w:tmpl w:val="5E0457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08917CD"/>
    <w:multiLevelType w:val="hybridMultilevel"/>
    <w:tmpl w:val="05388D5C"/>
    <w:lvl w:ilvl="0" w:tplc="E33C3704">
      <w:start w:val="182"/>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42E46"/>
    <w:multiLevelType w:val="hybridMultilevel"/>
    <w:tmpl w:val="D1D224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C041B6"/>
    <w:multiLevelType w:val="hybridMultilevel"/>
    <w:tmpl w:val="17D80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2951AD"/>
    <w:multiLevelType w:val="hybridMultilevel"/>
    <w:tmpl w:val="4C584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8F2FEF"/>
    <w:multiLevelType w:val="hybridMultilevel"/>
    <w:tmpl w:val="21261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F02BE4"/>
    <w:multiLevelType w:val="hybridMultilevel"/>
    <w:tmpl w:val="9C168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281FCD"/>
    <w:multiLevelType w:val="hybridMultilevel"/>
    <w:tmpl w:val="562EA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17"/>
  </w:num>
  <w:num w:numId="4">
    <w:abstractNumId w:val="16"/>
  </w:num>
  <w:num w:numId="5">
    <w:abstractNumId w:val="12"/>
  </w:num>
  <w:num w:numId="6">
    <w:abstractNumId w:val="6"/>
  </w:num>
  <w:num w:numId="7">
    <w:abstractNumId w:val="13"/>
  </w:num>
  <w:num w:numId="8">
    <w:abstractNumId w:val="15"/>
  </w:num>
  <w:num w:numId="9">
    <w:abstractNumId w:val="14"/>
  </w:num>
  <w:num w:numId="10">
    <w:abstractNumId w:val="9"/>
  </w:num>
  <w:num w:numId="11">
    <w:abstractNumId w:val="4"/>
  </w:num>
  <w:num w:numId="12">
    <w:abstractNumId w:val="8"/>
  </w:num>
  <w:num w:numId="13">
    <w:abstractNumId w:val="2"/>
  </w:num>
  <w:num w:numId="14">
    <w:abstractNumId w:val="7"/>
  </w:num>
  <w:num w:numId="15">
    <w:abstractNumId w:val="10"/>
  </w:num>
  <w:num w:numId="16">
    <w:abstractNumId w:val="1"/>
  </w:num>
  <w:num w:numId="17">
    <w:abstractNumId w:val="11"/>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5E7"/>
    <w:rsid w:val="00001BB3"/>
    <w:rsid w:val="000069D4"/>
    <w:rsid w:val="00007589"/>
    <w:rsid w:val="00022373"/>
    <w:rsid w:val="000335B3"/>
    <w:rsid w:val="00036E73"/>
    <w:rsid w:val="00040BBB"/>
    <w:rsid w:val="00043486"/>
    <w:rsid w:val="0004399C"/>
    <w:rsid w:val="00043BD0"/>
    <w:rsid w:val="0004501E"/>
    <w:rsid w:val="000453ED"/>
    <w:rsid w:val="0005237D"/>
    <w:rsid w:val="00081EA0"/>
    <w:rsid w:val="00084F99"/>
    <w:rsid w:val="000C33DC"/>
    <w:rsid w:val="000D323B"/>
    <w:rsid w:val="000D5583"/>
    <w:rsid w:val="000E369A"/>
    <w:rsid w:val="000F47DB"/>
    <w:rsid w:val="000F6FCB"/>
    <w:rsid w:val="00100011"/>
    <w:rsid w:val="00100290"/>
    <w:rsid w:val="00101F67"/>
    <w:rsid w:val="00107ACA"/>
    <w:rsid w:val="0012388F"/>
    <w:rsid w:val="00143131"/>
    <w:rsid w:val="00145366"/>
    <w:rsid w:val="00145B7A"/>
    <w:rsid w:val="00147E0B"/>
    <w:rsid w:val="00150F75"/>
    <w:rsid w:val="00154F91"/>
    <w:rsid w:val="001567DD"/>
    <w:rsid w:val="00166DF2"/>
    <w:rsid w:val="00182892"/>
    <w:rsid w:val="001861B1"/>
    <w:rsid w:val="00186865"/>
    <w:rsid w:val="001B7A7E"/>
    <w:rsid w:val="001D074E"/>
    <w:rsid w:val="001E08B5"/>
    <w:rsid w:val="001E1FFC"/>
    <w:rsid w:val="001E527E"/>
    <w:rsid w:val="001F780B"/>
    <w:rsid w:val="0020572C"/>
    <w:rsid w:val="002147C9"/>
    <w:rsid w:val="00216068"/>
    <w:rsid w:val="00226CCF"/>
    <w:rsid w:val="0023697C"/>
    <w:rsid w:val="0027639F"/>
    <w:rsid w:val="00284984"/>
    <w:rsid w:val="00286721"/>
    <w:rsid w:val="0029466A"/>
    <w:rsid w:val="00297459"/>
    <w:rsid w:val="002A0D4F"/>
    <w:rsid w:val="002A3C59"/>
    <w:rsid w:val="002A5D4E"/>
    <w:rsid w:val="002B33E8"/>
    <w:rsid w:val="002B728A"/>
    <w:rsid w:val="002C4E77"/>
    <w:rsid w:val="002C505F"/>
    <w:rsid w:val="002D27A4"/>
    <w:rsid w:val="002E083B"/>
    <w:rsid w:val="002E1EC5"/>
    <w:rsid w:val="003130A2"/>
    <w:rsid w:val="00313116"/>
    <w:rsid w:val="003357AA"/>
    <w:rsid w:val="0037630B"/>
    <w:rsid w:val="003828C7"/>
    <w:rsid w:val="00392B9D"/>
    <w:rsid w:val="00392FAA"/>
    <w:rsid w:val="003939D6"/>
    <w:rsid w:val="003A13B3"/>
    <w:rsid w:val="003A1F9E"/>
    <w:rsid w:val="003C1E1A"/>
    <w:rsid w:val="003C61FB"/>
    <w:rsid w:val="003D0244"/>
    <w:rsid w:val="003D406B"/>
    <w:rsid w:val="003D68F7"/>
    <w:rsid w:val="003D73C4"/>
    <w:rsid w:val="003E029F"/>
    <w:rsid w:val="003E4B81"/>
    <w:rsid w:val="003E4DE5"/>
    <w:rsid w:val="003F6ED3"/>
    <w:rsid w:val="00412071"/>
    <w:rsid w:val="00453078"/>
    <w:rsid w:val="00455401"/>
    <w:rsid w:val="004606B9"/>
    <w:rsid w:val="00463A05"/>
    <w:rsid w:val="00473491"/>
    <w:rsid w:val="00473D3E"/>
    <w:rsid w:val="00480CE4"/>
    <w:rsid w:val="004860AE"/>
    <w:rsid w:val="004868D6"/>
    <w:rsid w:val="00487609"/>
    <w:rsid w:val="00497577"/>
    <w:rsid w:val="004A5C2E"/>
    <w:rsid w:val="004B20D6"/>
    <w:rsid w:val="004C2D64"/>
    <w:rsid w:val="004C4575"/>
    <w:rsid w:val="004D03A4"/>
    <w:rsid w:val="004D4BE4"/>
    <w:rsid w:val="00502FBA"/>
    <w:rsid w:val="0051208F"/>
    <w:rsid w:val="005158C8"/>
    <w:rsid w:val="0051637D"/>
    <w:rsid w:val="00532991"/>
    <w:rsid w:val="00546866"/>
    <w:rsid w:val="00552705"/>
    <w:rsid w:val="005568B7"/>
    <w:rsid w:val="005621C3"/>
    <w:rsid w:val="00562CF9"/>
    <w:rsid w:val="00563C4D"/>
    <w:rsid w:val="00573008"/>
    <w:rsid w:val="00585298"/>
    <w:rsid w:val="005956D1"/>
    <w:rsid w:val="00596FB6"/>
    <w:rsid w:val="005A0C4F"/>
    <w:rsid w:val="005A1E39"/>
    <w:rsid w:val="005A32AE"/>
    <w:rsid w:val="005A460E"/>
    <w:rsid w:val="005A78D4"/>
    <w:rsid w:val="005B1F11"/>
    <w:rsid w:val="005B2412"/>
    <w:rsid w:val="005B640A"/>
    <w:rsid w:val="005B716D"/>
    <w:rsid w:val="005C5389"/>
    <w:rsid w:val="005C7889"/>
    <w:rsid w:val="005D3476"/>
    <w:rsid w:val="005E3EEC"/>
    <w:rsid w:val="005F436E"/>
    <w:rsid w:val="005F5BF4"/>
    <w:rsid w:val="005F752E"/>
    <w:rsid w:val="00607B06"/>
    <w:rsid w:val="006247F3"/>
    <w:rsid w:val="00635EA8"/>
    <w:rsid w:val="0063717F"/>
    <w:rsid w:val="0063768F"/>
    <w:rsid w:val="00651051"/>
    <w:rsid w:val="0065248B"/>
    <w:rsid w:val="0065691F"/>
    <w:rsid w:val="00657F57"/>
    <w:rsid w:val="00663956"/>
    <w:rsid w:val="006677E3"/>
    <w:rsid w:val="00667CD1"/>
    <w:rsid w:val="0068193E"/>
    <w:rsid w:val="006B50C7"/>
    <w:rsid w:val="006D1295"/>
    <w:rsid w:val="006D1BAC"/>
    <w:rsid w:val="006E008A"/>
    <w:rsid w:val="006F08C8"/>
    <w:rsid w:val="006F4D5C"/>
    <w:rsid w:val="006F5E2E"/>
    <w:rsid w:val="006F67B1"/>
    <w:rsid w:val="00702B58"/>
    <w:rsid w:val="007144F8"/>
    <w:rsid w:val="0072559D"/>
    <w:rsid w:val="007706AC"/>
    <w:rsid w:val="007815C8"/>
    <w:rsid w:val="00791FEE"/>
    <w:rsid w:val="007C28C0"/>
    <w:rsid w:val="007C3A37"/>
    <w:rsid w:val="007C4D73"/>
    <w:rsid w:val="007C7761"/>
    <w:rsid w:val="007E01AA"/>
    <w:rsid w:val="007E372E"/>
    <w:rsid w:val="007E6001"/>
    <w:rsid w:val="00806ED8"/>
    <w:rsid w:val="008115E7"/>
    <w:rsid w:val="00814F3B"/>
    <w:rsid w:val="00821077"/>
    <w:rsid w:val="00835055"/>
    <w:rsid w:val="008355A0"/>
    <w:rsid w:val="00841CD8"/>
    <w:rsid w:val="0084310A"/>
    <w:rsid w:val="008475CB"/>
    <w:rsid w:val="00850658"/>
    <w:rsid w:val="00881590"/>
    <w:rsid w:val="008856E2"/>
    <w:rsid w:val="008937AF"/>
    <w:rsid w:val="008C10CD"/>
    <w:rsid w:val="008E1ACF"/>
    <w:rsid w:val="008E1D68"/>
    <w:rsid w:val="00920F63"/>
    <w:rsid w:val="00927AD4"/>
    <w:rsid w:val="00934087"/>
    <w:rsid w:val="00942775"/>
    <w:rsid w:val="00944105"/>
    <w:rsid w:val="00945C2C"/>
    <w:rsid w:val="009467F1"/>
    <w:rsid w:val="00964CFE"/>
    <w:rsid w:val="00965ABD"/>
    <w:rsid w:val="00975290"/>
    <w:rsid w:val="00975A26"/>
    <w:rsid w:val="00987B4F"/>
    <w:rsid w:val="009A374B"/>
    <w:rsid w:val="009A433A"/>
    <w:rsid w:val="009B232A"/>
    <w:rsid w:val="009B687D"/>
    <w:rsid w:val="00A12385"/>
    <w:rsid w:val="00A1707A"/>
    <w:rsid w:val="00A17466"/>
    <w:rsid w:val="00A27597"/>
    <w:rsid w:val="00A40E02"/>
    <w:rsid w:val="00A441B4"/>
    <w:rsid w:val="00A52517"/>
    <w:rsid w:val="00A535D0"/>
    <w:rsid w:val="00A610E3"/>
    <w:rsid w:val="00A73EDB"/>
    <w:rsid w:val="00A752C8"/>
    <w:rsid w:val="00AC10C2"/>
    <w:rsid w:val="00AD1A25"/>
    <w:rsid w:val="00AD6201"/>
    <w:rsid w:val="00AE1DCA"/>
    <w:rsid w:val="00AF17E9"/>
    <w:rsid w:val="00AF513E"/>
    <w:rsid w:val="00B02487"/>
    <w:rsid w:val="00B055C6"/>
    <w:rsid w:val="00B06820"/>
    <w:rsid w:val="00B121BD"/>
    <w:rsid w:val="00B22526"/>
    <w:rsid w:val="00B26E74"/>
    <w:rsid w:val="00B307B4"/>
    <w:rsid w:val="00B420C9"/>
    <w:rsid w:val="00B52D4A"/>
    <w:rsid w:val="00B544E3"/>
    <w:rsid w:val="00B601DE"/>
    <w:rsid w:val="00B64F09"/>
    <w:rsid w:val="00B66EC7"/>
    <w:rsid w:val="00B6700F"/>
    <w:rsid w:val="00B75137"/>
    <w:rsid w:val="00B90863"/>
    <w:rsid w:val="00B91373"/>
    <w:rsid w:val="00B94819"/>
    <w:rsid w:val="00B95C8B"/>
    <w:rsid w:val="00BD24D4"/>
    <w:rsid w:val="00BD6053"/>
    <w:rsid w:val="00BD6D09"/>
    <w:rsid w:val="00BE1A9E"/>
    <w:rsid w:val="00BF1D28"/>
    <w:rsid w:val="00BF6EF5"/>
    <w:rsid w:val="00BF7C1C"/>
    <w:rsid w:val="00C03403"/>
    <w:rsid w:val="00C046DF"/>
    <w:rsid w:val="00C070FC"/>
    <w:rsid w:val="00C12CDF"/>
    <w:rsid w:val="00C1609C"/>
    <w:rsid w:val="00C21EB8"/>
    <w:rsid w:val="00C23D6D"/>
    <w:rsid w:val="00C25CA2"/>
    <w:rsid w:val="00C33C0E"/>
    <w:rsid w:val="00C35704"/>
    <w:rsid w:val="00C36945"/>
    <w:rsid w:val="00C43E31"/>
    <w:rsid w:val="00C64814"/>
    <w:rsid w:val="00C64839"/>
    <w:rsid w:val="00C6624B"/>
    <w:rsid w:val="00C708F5"/>
    <w:rsid w:val="00C710CB"/>
    <w:rsid w:val="00C72441"/>
    <w:rsid w:val="00C74E83"/>
    <w:rsid w:val="00C90DED"/>
    <w:rsid w:val="00C9142F"/>
    <w:rsid w:val="00C927EC"/>
    <w:rsid w:val="00C94BBF"/>
    <w:rsid w:val="00C96577"/>
    <w:rsid w:val="00CA3696"/>
    <w:rsid w:val="00CB66FC"/>
    <w:rsid w:val="00CC2811"/>
    <w:rsid w:val="00CC681F"/>
    <w:rsid w:val="00CC7FE8"/>
    <w:rsid w:val="00CF038F"/>
    <w:rsid w:val="00CF3A75"/>
    <w:rsid w:val="00D11E85"/>
    <w:rsid w:val="00D15F39"/>
    <w:rsid w:val="00D17885"/>
    <w:rsid w:val="00D22988"/>
    <w:rsid w:val="00D32E41"/>
    <w:rsid w:val="00D35C98"/>
    <w:rsid w:val="00D37965"/>
    <w:rsid w:val="00D42A88"/>
    <w:rsid w:val="00D708CA"/>
    <w:rsid w:val="00D743CB"/>
    <w:rsid w:val="00D76B44"/>
    <w:rsid w:val="00D81F83"/>
    <w:rsid w:val="00D9404E"/>
    <w:rsid w:val="00DA1B0B"/>
    <w:rsid w:val="00DC37A4"/>
    <w:rsid w:val="00DC47C6"/>
    <w:rsid w:val="00DD09AA"/>
    <w:rsid w:val="00DD3576"/>
    <w:rsid w:val="00DD56A4"/>
    <w:rsid w:val="00DD7B08"/>
    <w:rsid w:val="00DD7C67"/>
    <w:rsid w:val="00DE043C"/>
    <w:rsid w:val="00DE7C72"/>
    <w:rsid w:val="00DF28C5"/>
    <w:rsid w:val="00E06981"/>
    <w:rsid w:val="00E15F8D"/>
    <w:rsid w:val="00E37BC0"/>
    <w:rsid w:val="00E453AD"/>
    <w:rsid w:val="00E51082"/>
    <w:rsid w:val="00E669BD"/>
    <w:rsid w:val="00E8633B"/>
    <w:rsid w:val="00E904FE"/>
    <w:rsid w:val="00E9432D"/>
    <w:rsid w:val="00E96041"/>
    <w:rsid w:val="00EA0408"/>
    <w:rsid w:val="00EB4055"/>
    <w:rsid w:val="00EB797A"/>
    <w:rsid w:val="00EC6F8F"/>
    <w:rsid w:val="00EE1A55"/>
    <w:rsid w:val="00EE2D0E"/>
    <w:rsid w:val="00EF2AB4"/>
    <w:rsid w:val="00EF4E57"/>
    <w:rsid w:val="00EF5FE5"/>
    <w:rsid w:val="00F01A98"/>
    <w:rsid w:val="00F03999"/>
    <w:rsid w:val="00F15AB7"/>
    <w:rsid w:val="00F15ECC"/>
    <w:rsid w:val="00F2004D"/>
    <w:rsid w:val="00F22BE4"/>
    <w:rsid w:val="00F35B20"/>
    <w:rsid w:val="00F379D2"/>
    <w:rsid w:val="00F37A75"/>
    <w:rsid w:val="00F41CEF"/>
    <w:rsid w:val="00F72F4A"/>
    <w:rsid w:val="00F756E6"/>
    <w:rsid w:val="00F87897"/>
    <w:rsid w:val="00F87FDF"/>
    <w:rsid w:val="00FB6412"/>
    <w:rsid w:val="00FC03C2"/>
    <w:rsid w:val="00FC2DF5"/>
    <w:rsid w:val="00FD35AB"/>
    <w:rsid w:val="00FF449A"/>
    <w:rsid w:val="00FF73A8"/>
    <w:rsid w:val="3AA4A93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6EE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441"/>
  </w:style>
  <w:style w:type="paragraph" w:styleId="Heading2">
    <w:name w:val="heading 2"/>
    <w:basedOn w:val="Normal"/>
    <w:next w:val="Normal"/>
    <w:link w:val="Heading2Char"/>
    <w:uiPriority w:val="9"/>
    <w:unhideWhenUsed/>
    <w:qFormat/>
    <w:rsid w:val="00E669BD"/>
    <w:pPr>
      <w:keepNext/>
      <w:keepLines/>
      <w:spacing w:before="40" w:after="0"/>
      <w:outlineLvl w:val="1"/>
    </w:pPr>
    <w:rPr>
      <w:rFonts w:asciiTheme="majorHAnsi" w:eastAsiaTheme="majorEastAsia" w:hAnsiTheme="majorHAnsi" w:cstheme="majorBidi"/>
      <w:color w:val="000000" w:themeColor="text1"/>
      <w:sz w:val="28"/>
      <w:szCs w:val="26"/>
      <w:u w:val="single"/>
    </w:rPr>
  </w:style>
  <w:style w:type="paragraph" w:styleId="Heading3">
    <w:name w:val="heading 3"/>
    <w:basedOn w:val="Normal"/>
    <w:next w:val="Normal"/>
    <w:link w:val="Heading3Char"/>
    <w:uiPriority w:val="9"/>
    <w:unhideWhenUsed/>
    <w:qFormat/>
    <w:rsid w:val="00E669BD"/>
    <w:pPr>
      <w:keepNext/>
      <w:keepLines/>
      <w:spacing w:before="40" w:after="0"/>
      <w:outlineLvl w:val="2"/>
    </w:pPr>
    <w:rPr>
      <w:rFonts w:asciiTheme="majorHAnsi" w:eastAsiaTheme="majorEastAsia" w:hAnsiTheme="majorHAnsi" w:cstheme="majorBidi"/>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88"/>
    <w:rPr>
      <w:rFonts w:ascii="Tahoma" w:hAnsi="Tahoma" w:cs="Tahoma"/>
      <w:sz w:val="16"/>
      <w:szCs w:val="16"/>
    </w:rPr>
  </w:style>
  <w:style w:type="paragraph" w:styleId="ListParagraph">
    <w:name w:val="List Paragraph"/>
    <w:basedOn w:val="Normal"/>
    <w:uiPriority w:val="34"/>
    <w:qFormat/>
    <w:rsid w:val="00663956"/>
    <w:pPr>
      <w:ind w:left="720"/>
      <w:contextualSpacing/>
    </w:pPr>
  </w:style>
  <w:style w:type="table" w:styleId="TableGrid">
    <w:name w:val="Table Grid"/>
    <w:basedOn w:val="TableNormal"/>
    <w:uiPriority w:val="59"/>
    <w:rsid w:val="0056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068"/>
  </w:style>
  <w:style w:type="paragraph" w:styleId="Footer">
    <w:name w:val="footer"/>
    <w:basedOn w:val="Normal"/>
    <w:link w:val="FooterChar"/>
    <w:uiPriority w:val="99"/>
    <w:unhideWhenUsed/>
    <w:rsid w:val="00216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068"/>
  </w:style>
  <w:style w:type="character" w:styleId="PageNumber">
    <w:name w:val="page number"/>
    <w:basedOn w:val="DefaultParagraphFont"/>
    <w:uiPriority w:val="99"/>
    <w:semiHidden/>
    <w:unhideWhenUsed/>
    <w:rsid w:val="00B055C6"/>
  </w:style>
  <w:style w:type="character" w:styleId="Hyperlink">
    <w:name w:val="Hyperlink"/>
    <w:rsid w:val="008115E7"/>
    <w:rPr>
      <w:color w:val="0000FF"/>
      <w:u w:val="single"/>
    </w:rPr>
  </w:style>
  <w:style w:type="character" w:styleId="Emphasis">
    <w:name w:val="Emphasis"/>
    <w:basedOn w:val="DefaultParagraphFont"/>
    <w:uiPriority w:val="20"/>
    <w:qFormat/>
    <w:rsid w:val="00E669BD"/>
    <w:rPr>
      <w:i/>
      <w:iCs/>
    </w:rPr>
  </w:style>
  <w:style w:type="character" w:styleId="Strong">
    <w:name w:val="Strong"/>
    <w:basedOn w:val="DefaultParagraphFont"/>
    <w:uiPriority w:val="22"/>
    <w:qFormat/>
    <w:rsid w:val="00E669BD"/>
    <w:rPr>
      <w:b/>
      <w:bCs/>
      <w:u w:val="single"/>
    </w:rPr>
  </w:style>
  <w:style w:type="character" w:customStyle="1" w:styleId="Heading2Char">
    <w:name w:val="Heading 2 Char"/>
    <w:basedOn w:val="DefaultParagraphFont"/>
    <w:link w:val="Heading2"/>
    <w:uiPriority w:val="9"/>
    <w:rsid w:val="00E669BD"/>
    <w:rPr>
      <w:rFonts w:asciiTheme="majorHAnsi" w:eastAsiaTheme="majorEastAsia" w:hAnsiTheme="majorHAnsi" w:cstheme="majorBidi"/>
      <w:color w:val="000000" w:themeColor="text1"/>
      <w:sz w:val="28"/>
      <w:szCs w:val="26"/>
      <w:u w:val="single"/>
    </w:rPr>
  </w:style>
  <w:style w:type="character" w:customStyle="1" w:styleId="Heading3Char">
    <w:name w:val="Heading 3 Char"/>
    <w:basedOn w:val="DefaultParagraphFont"/>
    <w:link w:val="Heading3"/>
    <w:uiPriority w:val="9"/>
    <w:rsid w:val="00E669BD"/>
    <w:rPr>
      <w:rFonts w:asciiTheme="majorHAnsi" w:eastAsiaTheme="majorEastAsia" w:hAnsiTheme="majorHAnsi" w:cstheme="majorBidi"/>
      <w:color w:val="000000" w:themeColor="text1"/>
      <w:sz w:val="24"/>
      <w:szCs w:val="24"/>
      <w:u w:val="single"/>
    </w:rPr>
  </w:style>
  <w:style w:type="table" w:styleId="TableGridLight">
    <w:name w:val="Grid Table Light"/>
    <w:basedOn w:val="TableNormal"/>
    <w:uiPriority w:val="40"/>
    <w:rsid w:val="00A73EDB"/>
    <w:pPr>
      <w:spacing w:after="0" w:line="240" w:lineRule="auto"/>
    </w:pPr>
    <w:rPr>
      <w:rFonts w:eastAsiaTheme="minorHAns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9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en.lau@anu.edu.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olicies.anu.edu.au/ppl/document/ANUP_0100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an.Ethics.Officer@anu.edu.au" TargetMode="External"/><Relationship Id="rId4" Type="http://schemas.openxmlformats.org/officeDocument/2006/relationships/webSettings" Target="webSettings.xml"/><Relationship Id="rId9" Type="http://schemas.openxmlformats.org/officeDocument/2006/relationships/hyperlink" Target="mailto:email@drdeb.com.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Mills</dc:creator>
  <cp:lastModifiedBy>Deb Mills</cp:lastModifiedBy>
  <cp:revision>6</cp:revision>
  <cp:lastPrinted>2018-11-29T00:30:00Z</cp:lastPrinted>
  <dcterms:created xsi:type="dcterms:W3CDTF">2020-01-14T05:55:00Z</dcterms:created>
  <dcterms:modified xsi:type="dcterms:W3CDTF">2020-01-15T01:33:00Z</dcterms:modified>
</cp:coreProperties>
</file>